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天津市地质研究和海洋地质中心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天津市地质研究和海洋地质中心</w:t>
      </w:r>
      <w:r>
        <w:rPr>
          <w:rFonts w:ascii="仿宋_GB2312" w:eastAsia="仿宋_GB2312" w:hint="eastAsia"/>
          <w:sz w:val="30"/>
          <w:szCs w:val="30"/>
        </w:rPr>
        <w:t xml:space="preserve">的主要职责是：</w:t>
      </w:r>
      <w:r>
        <w:rPr>
          <w:rFonts w:ascii="仿宋_GB2312" w:eastAsia="仿宋_GB2312" w:hint="eastAsia"/>
          <w:sz w:val="30"/>
          <w:szCs w:val="30"/>
        </w:rPr>
        <w:t xml:space="preserve">主要承担国家和地方基础地质、成矿规律研究，以及地矿资源及岩石矿物检测工作，开展海洋地质勘查工作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天津市地质研究和海洋地质中心内设5个职能科室；下辖0个预算单位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天津市地质研究和海洋地质中心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1.天津市地质研究和海洋地质中心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10,337,000.00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74,480,568.46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1,854,000.00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125,753.45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73,654,797.32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84,943,321.91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75,946,797.32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50,635.47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4,333,722.41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-4,413,981.64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299,456.01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-4,413,981.64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80,579,975.74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80,579,975.74</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84,943,321.91</w:t>
            </w:r>
          </w:p>
        </w:tc>
        <w:tc>
          <w:tcPr>
            <w:tcW w:w="1240" w:type="dxa"/>
            <w:tcBorders/>
            <w:vAlign w:val="center"/>
          </w:tcPr>
          <w:p>
            <w:pPr>
              <w:snapToGrid w:val="0"/>
              <w:jc w:val="right"/>
            </w:pPr>
            <w:r>
              <w:rPr>
                <w:rFonts w:ascii="宋体" w:eastAsia="宋体" w:hAnsi="宋体" w:cs="宋体"/>
                <w:b w:val="0"/>
                <w:i w:val="0"/>
                <w:color w:val="000000"/>
                <w:sz w:val="14"/>
              </w:rPr>
              <w:t xml:space="preserve">10,337,000.00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74,480,568.46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125,753.45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1,854,000.00</w:t>
            </w:r>
          </w:p>
        </w:tc>
        <w:tc>
          <w:tcPr>
            <w:tcW w:w="1240" w:type="dxa"/>
            <w:tcBorders/>
            <w:vAlign w:val="center"/>
          </w:tcPr>
          <w:p>
            <w:pPr>
              <w:snapToGrid w:val="0"/>
              <w:jc w:val="right"/>
            </w:pPr>
            <w:r>
              <w:rPr>
                <w:rFonts w:ascii="宋体" w:eastAsia="宋体" w:hAnsi="宋体" w:cs="宋体"/>
                <w:b w:val="0"/>
                <w:i w:val="0"/>
                <w:color w:val="000000"/>
                <w:sz w:val="14"/>
              </w:rPr>
              <w:t xml:space="preserve">1,854,000.00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1,854,000.00</w:t>
            </w:r>
          </w:p>
        </w:tc>
        <w:tc>
          <w:tcPr>
            <w:tcW w:w="1240" w:type="dxa"/>
            <w:tcBorders/>
            <w:vAlign w:val="center"/>
          </w:tcPr>
          <w:p>
            <w:pPr>
              <w:snapToGrid w:val="0"/>
              <w:jc w:val="right"/>
            </w:pPr>
            <w:r>
              <w:rPr>
                <w:rFonts w:ascii="宋体" w:eastAsia="宋体" w:hAnsi="宋体" w:cs="宋体"/>
                <w:b w:val="0"/>
                <w:i w:val="0"/>
                <w:color w:val="000000"/>
                <w:sz w:val="14"/>
              </w:rPr>
              <w:t xml:space="preserve">1,854,000.00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1,236,000.00</w:t>
            </w:r>
          </w:p>
        </w:tc>
        <w:tc>
          <w:tcPr>
            <w:tcW w:w="1240" w:type="dxa"/>
            <w:tcBorders/>
            <w:vAlign w:val="center"/>
          </w:tcPr>
          <w:p>
            <w:pPr>
              <w:snapToGrid w:val="0"/>
              <w:jc w:val="right"/>
            </w:pPr>
            <w:r>
              <w:rPr>
                <w:rFonts w:ascii="宋体" w:eastAsia="宋体" w:hAnsi="宋体" w:cs="宋体"/>
                <w:b w:val="0"/>
                <w:i w:val="0"/>
                <w:color w:val="000000"/>
                <w:sz w:val="14"/>
              </w:rPr>
              <w:t xml:space="preserve">1,236,000.00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618,000.00</w:t>
            </w:r>
          </w:p>
        </w:tc>
        <w:tc>
          <w:tcPr>
            <w:tcW w:w="1240" w:type="dxa"/>
            <w:tcBorders/>
            <w:vAlign w:val="center"/>
          </w:tcPr>
          <w:p>
            <w:pPr>
              <w:snapToGrid w:val="0"/>
              <w:jc w:val="right"/>
            </w:pPr>
            <w:r>
              <w:rPr>
                <w:rFonts w:ascii="宋体" w:eastAsia="宋体" w:hAnsi="宋体" w:cs="宋体"/>
                <w:b w:val="0"/>
                <w:i w:val="0"/>
                <w:color w:val="000000"/>
                <w:sz w:val="14"/>
              </w:rPr>
              <w:t xml:space="preserve">618,000.00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438,000.00</w:t>
            </w:r>
          </w:p>
        </w:tc>
        <w:tc>
          <w:tcPr>
            <w:tcW w:w="1240" w:type="dxa"/>
            <w:tcBorders/>
            <w:vAlign w:val="center"/>
          </w:tcPr>
          <w:p>
            <w:pPr>
              <w:snapToGrid w:val="0"/>
              <w:jc w:val="right"/>
            </w:pPr>
            <w:r>
              <w:rPr>
                <w:rFonts w:ascii="宋体" w:eastAsia="宋体" w:hAnsi="宋体" w:cs="宋体"/>
                <w:b w:val="0"/>
                <w:i w:val="0"/>
                <w:color w:val="000000"/>
                <w:sz w:val="14"/>
              </w:rPr>
              <w:t xml:space="preserve">438,000.00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438,000.00</w:t>
            </w:r>
          </w:p>
        </w:tc>
        <w:tc>
          <w:tcPr>
            <w:tcW w:w="1240" w:type="dxa"/>
            <w:tcBorders/>
            <w:vAlign w:val="center"/>
          </w:tcPr>
          <w:p>
            <w:pPr>
              <w:snapToGrid w:val="0"/>
              <w:jc w:val="right"/>
            </w:pPr>
            <w:r>
              <w:rPr>
                <w:rFonts w:ascii="宋体" w:eastAsia="宋体" w:hAnsi="宋体" w:cs="宋体"/>
                <w:b w:val="0"/>
                <w:i w:val="0"/>
                <w:color w:val="000000"/>
                <w:sz w:val="14"/>
              </w:rPr>
              <w:t xml:space="preserve">438,000.00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snapToGrid w:val="0"/>
              <w:jc w:val="right"/>
            </w:pPr>
            <w:r>
              <w:rPr>
                <w:rFonts w:ascii="宋体" w:eastAsia="宋体" w:hAnsi="宋体" w:cs="宋体"/>
                <w:b w:val="0"/>
                <w:i w:val="0"/>
                <w:color w:val="000000"/>
                <w:sz w:val="14"/>
              </w:rPr>
              <w:t xml:space="preserve">386,000.00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52,000.00</w:t>
            </w:r>
          </w:p>
        </w:tc>
        <w:tc>
          <w:tcPr>
            <w:tcW w:w="1240" w:type="dxa"/>
            <w:tcBorders/>
            <w:vAlign w:val="center"/>
          </w:tcPr>
          <w:p>
            <w:pPr>
              <w:snapToGrid w:val="0"/>
              <w:jc w:val="right"/>
            </w:pPr>
            <w:r>
              <w:rPr>
                <w:rFonts w:ascii="宋体" w:eastAsia="宋体" w:hAnsi="宋体" w:cs="宋体"/>
                <w:b w:val="0"/>
                <w:i w:val="0"/>
                <w:color w:val="000000"/>
                <w:sz w:val="14"/>
              </w:rPr>
              <w:t xml:space="preserve">52,000.00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82,651,321.91</w:t>
            </w:r>
          </w:p>
        </w:tc>
        <w:tc>
          <w:tcPr>
            <w:tcW w:w="1240" w:type="dxa"/>
            <w:tcBorders/>
            <w:vAlign w:val="center"/>
          </w:tcPr>
          <w:p>
            <w:pPr>
              <w:snapToGrid w:val="0"/>
              <w:jc w:val="right"/>
            </w:pPr>
            <w:r>
              <w:rPr>
                <w:rFonts w:ascii="宋体" w:eastAsia="宋体" w:hAnsi="宋体" w:cs="宋体"/>
                <w:b w:val="0"/>
                <w:i w:val="0"/>
                <w:color w:val="000000"/>
                <w:sz w:val="14"/>
              </w:rPr>
              <w:t xml:space="preserve">8,045,000.00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74,480,568.46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125,753.45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82,651,321.91</w:t>
            </w:r>
          </w:p>
        </w:tc>
        <w:tc>
          <w:tcPr>
            <w:tcW w:w="1240" w:type="dxa"/>
            <w:tcBorders/>
            <w:vAlign w:val="center"/>
          </w:tcPr>
          <w:p>
            <w:pPr>
              <w:snapToGrid w:val="0"/>
              <w:jc w:val="right"/>
            </w:pPr>
            <w:r>
              <w:rPr>
                <w:rFonts w:ascii="宋体" w:eastAsia="宋体" w:hAnsi="宋体" w:cs="宋体"/>
                <w:b w:val="0"/>
                <w:i w:val="0"/>
                <w:color w:val="000000"/>
                <w:sz w:val="14"/>
              </w:rPr>
              <w:t xml:space="preserve">8,045,000.00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74,480,568.46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125,753.45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82,651,321.91</w:t>
            </w:r>
          </w:p>
        </w:tc>
        <w:tc>
          <w:tcPr>
            <w:tcW w:w="1240" w:type="dxa"/>
            <w:tcBorders/>
            <w:vAlign w:val="center"/>
          </w:tcPr>
          <w:p>
            <w:pPr>
              <w:snapToGrid w:val="0"/>
              <w:jc w:val="right"/>
            </w:pPr>
            <w:r>
              <w:rPr>
                <w:rFonts w:ascii="宋体" w:eastAsia="宋体" w:hAnsi="宋体" w:cs="宋体"/>
                <w:b w:val="0"/>
                <w:i w:val="0"/>
                <w:color w:val="000000"/>
                <w:sz w:val="14"/>
              </w:rPr>
              <w:t xml:space="preserve">8,045,000.00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74,480,568.46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125,753.45</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80,579,975.74</w:t>
            </w:r>
          </w:p>
        </w:tc>
        <w:tc>
          <w:tcPr>
            <w:tcW w:w="580" w:type="dxa"/>
            <w:tcBorders/>
            <w:vAlign w:val="center"/>
          </w:tcPr>
          <w:p>
            <w:pPr>
              <w:snapToGrid w:val="0"/>
              <w:jc w:val="right"/>
            </w:pPr>
            <w:r>
              <w:rPr>
                <w:rFonts w:ascii="宋体" w:eastAsia="宋体" w:hAnsi="宋体" w:cs="宋体"/>
                <w:b w:val="0"/>
                <w:i w:val="0"/>
                <w:color w:val="000000"/>
                <w:sz w:val="9"/>
              </w:rPr>
              <w:t xml:space="preserve">84,943,321.91</w:t>
            </w:r>
          </w:p>
        </w:tc>
        <w:tc>
          <w:tcPr>
            <w:tcW w:w="580" w:type="dxa"/>
            <w:tcBorders/>
            <w:vAlign w:val="center"/>
          </w:tcPr>
          <w:p>
            <w:pPr>
              <w:snapToGrid w:val="0"/>
              <w:jc w:val="right"/>
            </w:pPr>
            <w:r>
              <w:rPr>
                <w:rFonts w:ascii="宋体" w:eastAsia="宋体" w:hAnsi="宋体" w:cs="宋体"/>
                <w:b w:val="0"/>
                <w:i w:val="0"/>
                <w:color w:val="000000"/>
                <w:sz w:val="9"/>
              </w:rPr>
              <w:t xml:space="preserve">10,337,000.00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74,480,568.46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125,753.45</w:t>
            </w: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-4,363,346.17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615209</w:t>
            </w:r>
          </w:p>
        </w:tc>
        <w:tc>
          <w:tcPr>
            <w:tcW w:w="1520" w:type="dxa"/>
            <w:tcBorders/>
            <w:vAlign w:val="center"/>
          </w:tcPr>
          <w:p>
            <w:pPr>
              <w:snapToGrid w:val="0"/>
              <w:jc w:val="center"/>
            </w:pPr>
            <w:r>
              <w:rPr>
                <w:rFonts w:ascii="宋体" w:eastAsia="宋体" w:hAnsi="宋体" w:cs="宋体"/>
                <w:b w:val="0"/>
                <w:i w:val="0"/>
                <w:color w:val="000000"/>
                <w:sz w:val="9"/>
              </w:rPr>
              <w:t xml:space="preserve">天津市地质研究和海洋地质中心</w:t>
            </w:r>
          </w:p>
        </w:tc>
        <w:tc>
          <w:tcPr>
            <w:tcW w:w="580" w:type="dxa"/>
            <w:tcBorders/>
            <w:vAlign w:val="center"/>
          </w:tcPr>
          <w:p>
            <w:pPr>
              <w:snapToGrid w:val="0"/>
              <w:jc w:val="right"/>
            </w:pPr>
            <w:r>
              <w:rPr>
                <w:rFonts w:ascii="宋体" w:eastAsia="宋体" w:hAnsi="宋体" w:cs="宋体"/>
                <w:b w:val="0"/>
                <w:i w:val="0"/>
                <w:color w:val="000000"/>
                <w:sz w:val="9"/>
              </w:rPr>
              <w:t xml:space="preserve">80,579,975.74</w:t>
            </w:r>
          </w:p>
        </w:tc>
        <w:tc>
          <w:tcPr>
            <w:tcW w:w="580" w:type="dxa"/>
            <w:tcBorders/>
            <w:vAlign w:val="center"/>
          </w:tcPr>
          <w:p>
            <w:pPr>
              <w:snapToGrid w:val="0"/>
              <w:jc w:val="right"/>
            </w:pPr>
            <w:r>
              <w:rPr>
                <w:rFonts w:ascii="宋体" w:eastAsia="宋体" w:hAnsi="宋体" w:cs="宋体"/>
                <w:b w:val="0"/>
                <w:i w:val="0"/>
                <w:color w:val="000000"/>
                <w:sz w:val="9"/>
              </w:rPr>
              <w:t xml:space="preserve">84,943,321.91</w:t>
            </w:r>
          </w:p>
        </w:tc>
        <w:tc>
          <w:tcPr>
            <w:tcW w:w="580" w:type="dxa"/>
            <w:tcBorders/>
            <w:vAlign w:val="center"/>
          </w:tcPr>
          <w:p>
            <w:pPr>
              <w:snapToGrid w:val="0"/>
              <w:jc w:val="right"/>
            </w:pPr>
            <w:r>
              <w:rPr>
                <w:rFonts w:ascii="宋体" w:eastAsia="宋体" w:hAnsi="宋体" w:cs="宋体"/>
                <w:b w:val="0"/>
                <w:i w:val="0"/>
                <w:color w:val="000000"/>
                <w:sz w:val="9"/>
              </w:rPr>
              <w:t xml:space="preserve">10,337,000.00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74,480,568.46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125,753.45</w:t>
            </w: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-4,363,346.17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-4,363,346.17</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75,946,797.32</w:t>
            </w:r>
          </w:p>
        </w:tc>
        <w:tc>
          <w:tcPr>
            <w:tcW w:w="1320" w:type="dxa"/>
            <w:tcBorders/>
            <w:vAlign w:val="center"/>
          </w:tcPr>
          <w:p>
            <w:pPr>
              <w:snapToGrid w:val="0"/>
              <w:jc w:val="right"/>
            </w:pPr>
            <w:r>
              <w:rPr>
                <w:rFonts w:ascii="宋体" w:eastAsia="宋体" w:hAnsi="宋体" w:cs="宋体"/>
                <w:b w:val="0"/>
                <w:i w:val="0"/>
                <w:color w:val="000000"/>
                <w:sz w:val="15"/>
              </w:rPr>
              <w:t xml:space="preserve">10,337,000.00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65,609,797.32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1,854,000.00</w:t>
            </w:r>
          </w:p>
        </w:tc>
        <w:tc>
          <w:tcPr>
            <w:tcW w:w="1320" w:type="dxa"/>
            <w:tcBorders/>
            <w:vAlign w:val="center"/>
          </w:tcPr>
          <w:p>
            <w:pPr>
              <w:snapToGrid w:val="0"/>
              <w:jc w:val="right"/>
            </w:pPr>
            <w:r>
              <w:rPr>
                <w:rFonts w:ascii="宋体" w:eastAsia="宋体" w:hAnsi="宋体" w:cs="宋体"/>
                <w:b w:val="0"/>
                <w:i w:val="0"/>
                <w:color w:val="000000"/>
                <w:sz w:val="15"/>
              </w:rPr>
              <w:t xml:space="preserve">1,854,000.00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1,854,000.00</w:t>
            </w:r>
          </w:p>
        </w:tc>
        <w:tc>
          <w:tcPr>
            <w:tcW w:w="1320" w:type="dxa"/>
            <w:tcBorders/>
            <w:vAlign w:val="center"/>
          </w:tcPr>
          <w:p>
            <w:pPr>
              <w:snapToGrid w:val="0"/>
              <w:jc w:val="right"/>
            </w:pPr>
            <w:r>
              <w:rPr>
                <w:rFonts w:ascii="宋体" w:eastAsia="宋体" w:hAnsi="宋体" w:cs="宋体"/>
                <w:b w:val="0"/>
                <w:i w:val="0"/>
                <w:color w:val="000000"/>
                <w:sz w:val="15"/>
              </w:rPr>
              <w:t xml:space="preserve">1,854,000.00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1,236,000.00</w:t>
            </w:r>
          </w:p>
        </w:tc>
        <w:tc>
          <w:tcPr>
            <w:tcW w:w="1320" w:type="dxa"/>
            <w:tcBorders/>
            <w:vAlign w:val="center"/>
          </w:tcPr>
          <w:p>
            <w:pPr>
              <w:snapToGrid w:val="0"/>
              <w:jc w:val="right"/>
            </w:pPr>
            <w:r>
              <w:rPr>
                <w:rFonts w:ascii="宋体" w:eastAsia="宋体" w:hAnsi="宋体" w:cs="宋体"/>
                <w:b w:val="0"/>
                <w:i w:val="0"/>
                <w:color w:val="000000"/>
                <w:sz w:val="15"/>
              </w:rPr>
              <w:t xml:space="preserve">1,236,000.00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618,000.00</w:t>
            </w:r>
          </w:p>
        </w:tc>
        <w:tc>
          <w:tcPr>
            <w:tcW w:w="1320" w:type="dxa"/>
            <w:tcBorders/>
            <w:vAlign w:val="center"/>
          </w:tcPr>
          <w:p>
            <w:pPr>
              <w:snapToGrid w:val="0"/>
              <w:jc w:val="right"/>
            </w:pPr>
            <w:r>
              <w:rPr>
                <w:rFonts w:ascii="宋体" w:eastAsia="宋体" w:hAnsi="宋体" w:cs="宋体"/>
                <w:b w:val="0"/>
                <w:i w:val="0"/>
                <w:color w:val="000000"/>
                <w:sz w:val="15"/>
              </w:rPr>
              <w:t xml:space="preserve">618,000.00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438,000.00</w:t>
            </w:r>
          </w:p>
        </w:tc>
        <w:tc>
          <w:tcPr>
            <w:tcW w:w="1320" w:type="dxa"/>
            <w:tcBorders/>
            <w:vAlign w:val="center"/>
          </w:tcPr>
          <w:p>
            <w:pPr>
              <w:snapToGrid w:val="0"/>
              <w:jc w:val="right"/>
            </w:pPr>
            <w:r>
              <w:rPr>
                <w:rFonts w:ascii="宋体" w:eastAsia="宋体" w:hAnsi="宋体" w:cs="宋体"/>
                <w:b w:val="0"/>
                <w:i w:val="0"/>
                <w:color w:val="000000"/>
                <w:sz w:val="15"/>
              </w:rPr>
              <w:t xml:space="preserve">438,000.00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438,000.00</w:t>
            </w:r>
          </w:p>
        </w:tc>
        <w:tc>
          <w:tcPr>
            <w:tcW w:w="1320" w:type="dxa"/>
            <w:tcBorders/>
            <w:vAlign w:val="center"/>
          </w:tcPr>
          <w:p>
            <w:pPr>
              <w:snapToGrid w:val="0"/>
              <w:jc w:val="right"/>
            </w:pPr>
            <w:r>
              <w:rPr>
                <w:rFonts w:ascii="宋体" w:eastAsia="宋体" w:hAnsi="宋体" w:cs="宋体"/>
                <w:b w:val="0"/>
                <w:i w:val="0"/>
                <w:color w:val="000000"/>
                <w:sz w:val="15"/>
              </w:rPr>
              <w:t xml:space="preserve">438,000.00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snapToGrid w:val="0"/>
              <w:jc w:val="right"/>
            </w:pPr>
            <w:r>
              <w:rPr>
                <w:rFonts w:ascii="宋体" w:eastAsia="宋体" w:hAnsi="宋体" w:cs="宋体"/>
                <w:b w:val="0"/>
                <w:i w:val="0"/>
                <w:color w:val="000000"/>
                <w:sz w:val="15"/>
              </w:rPr>
              <w:t xml:space="preserve">386,000.00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52,000.00</w:t>
            </w:r>
          </w:p>
        </w:tc>
        <w:tc>
          <w:tcPr>
            <w:tcW w:w="1320" w:type="dxa"/>
            <w:tcBorders/>
            <w:vAlign w:val="center"/>
          </w:tcPr>
          <w:p>
            <w:pPr>
              <w:snapToGrid w:val="0"/>
              <w:jc w:val="right"/>
            </w:pPr>
            <w:r>
              <w:rPr>
                <w:rFonts w:ascii="宋体" w:eastAsia="宋体" w:hAnsi="宋体" w:cs="宋体"/>
                <w:b w:val="0"/>
                <w:i w:val="0"/>
                <w:color w:val="000000"/>
                <w:sz w:val="15"/>
              </w:rPr>
              <w:t xml:space="preserve">52,000.00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73,654,797.32</w:t>
            </w:r>
          </w:p>
        </w:tc>
        <w:tc>
          <w:tcPr>
            <w:tcW w:w="1320" w:type="dxa"/>
            <w:tcBorders/>
            <w:vAlign w:val="center"/>
          </w:tcPr>
          <w:p>
            <w:pPr>
              <w:snapToGrid w:val="0"/>
              <w:jc w:val="right"/>
            </w:pPr>
            <w:r>
              <w:rPr>
                <w:rFonts w:ascii="宋体" w:eastAsia="宋体" w:hAnsi="宋体" w:cs="宋体"/>
                <w:b w:val="0"/>
                <w:i w:val="0"/>
                <w:color w:val="000000"/>
                <w:sz w:val="15"/>
              </w:rPr>
              <w:t xml:space="preserve">8,045,000.00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65,609,797.32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73,654,797.32</w:t>
            </w:r>
          </w:p>
        </w:tc>
        <w:tc>
          <w:tcPr>
            <w:tcW w:w="1320" w:type="dxa"/>
            <w:tcBorders/>
            <w:vAlign w:val="center"/>
          </w:tcPr>
          <w:p>
            <w:pPr>
              <w:snapToGrid w:val="0"/>
              <w:jc w:val="right"/>
            </w:pPr>
            <w:r>
              <w:rPr>
                <w:rFonts w:ascii="宋体" w:eastAsia="宋体" w:hAnsi="宋体" w:cs="宋体"/>
                <w:b w:val="0"/>
                <w:i w:val="0"/>
                <w:color w:val="000000"/>
                <w:sz w:val="15"/>
              </w:rPr>
              <w:t xml:space="preserve">8,045,000.00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65,609,797.32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73,654,797.32</w:t>
            </w:r>
          </w:p>
        </w:tc>
        <w:tc>
          <w:tcPr>
            <w:tcW w:w="1320" w:type="dxa"/>
            <w:tcBorders/>
            <w:vAlign w:val="center"/>
          </w:tcPr>
          <w:p>
            <w:pPr>
              <w:snapToGrid w:val="0"/>
              <w:jc w:val="right"/>
            </w:pPr>
            <w:r>
              <w:rPr>
                <w:rFonts w:ascii="宋体" w:eastAsia="宋体" w:hAnsi="宋体" w:cs="宋体"/>
                <w:b w:val="0"/>
                <w:i w:val="0"/>
                <w:color w:val="000000"/>
                <w:sz w:val="15"/>
              </w:rPr>
              <w:t xml:space="preserve">8,045,000.00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65,609,797.32</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1,854,000.00</w:t>
            </w:r>
          </w:p>
        </w:tc>
        <w:tc>
          <w:tcPr>
            <w:tcW w:w="1420" w:type="dxa"/>
            <w:tcBorders/>
            <w:vAlign w:val="center"/>
          </w:tcPr>
          <w:p>
            <w:pPr>
              <w:snapToGrid w:val="0"/>
              <w:jc w:val="right"/>
            </w:pPr>
            <w:r>
              <w:rPr>
                <w:rFonts w:ascii="宋体" w:eastAsia="宋体" w:hAnsi="宋体" w:cs="宋体"/>
                <w:b w:val="0"/>
                <w:i w:val="0"/>
                <w:color w:val="000000"/>
                <w:sz w:val="16"/>
              </w:rPr>
              <w:t xml:space="preserve">1,854,000.00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438,000.00</w:t>
            </w:r>
          </w:p>
        </w:tc>
        <w:tc>
          <w:tcPr>
            <w:tcW w:w="1420" w:type="dxa"/>
            <w:tcBorders/>
            <w:vAlign w:val="center"/>
          </w:tcPr>
          <w:p>
            <w:pPr>
              <w:snapToGrid w:val="0"/>
              <w:jc w:val="right"/>
            </w:pPr>
            <w:r>
              <w:rPr>
                <w:rFonts w:ascii="宋体" w:eastAsia="宋体" w:hAnsi="宋体" w:cs="宋体"/>
                <w:b w:val="0"/>
                <w:i w:val="0"/>
                <w:color w:val="000000"/>
                <w:sz w:val="16"/>
              </w:rPr>
              <w:t xml:space="preserve">438,000.00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8,045,000.00</w:t>
            </w:r>
          </w:p>
        </w:tc>
        <w:tc>
          <w:tcPr>
            <w:tcW w:w="1420" w:type="dxa"/>
            <w:tcBorders/>
            <w:vAlign w:val="center"/>
          </w:tcPr>
          <w:p>
            <w:pPr>
              <w:snapToGrid w:val="0"/>
              <w:jc w:val="right"/>
            </w:pPr>
            <w:r>
              <w:rPr>
                <w:rFonts w:ascii="宋体" w:eastAsia="宋体" w:hAnsi="宋体" w:cs="宋体"/>
                <w:b w:val="0"/>
                <w:i w:val="0"/>
                <w:color w:val="000000"/>
                <w:sz w:val="16"/>
              </w:rPr>
              <w:t xml:space="preserve">8,045,000.00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1420" w:type="dxa"/>
            <w:tcBorders/>
            <w:vAlign w:val="center"/>
          </w:tcPr>
          <w:p>
            <w:pPr>
              <w:snapToGrid w:val="0"/>
              <w:jc w:val="right"/>
            </w:pPr>
            <w:r>
              <w:rPr>
                <w:rFonts w:ascii="宋体" w:eastAsia="宋体" w:hAnsi="宋体" w:cs="宋体"/>
                <w:b w:val="0"/>
                <w:i w:val="0"/>
                <w:color w:val="000000"/>
                <w:sz w:val="16"/>
              </w:rPr>
              <w:t xml:space="preserve">10,337,000.00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10,337,000.00</w:t>
            </w:r>
          </w:p>
        </w:tc>
        <w:tc>
          <w:tcPr>
            <w:tcW w:w="1720" w:type="dxa"/>
            <w:tcBorders/>
            <w:vAlign w:val="center"/>
          </w:tcPr>
          <w:p>
            <w:pPr>
              <w:snapToGrid w:val="0"/>
              <w:jc w:val="right"/>
            </w:pPr>
            <w:r>
              <w:rPr>
                <w:rFonts w:ascii="宋体" w:eastAsia="宋体" w:hAnsi="宋体" w:cs="宋体"/>
                <w:b w:val="0"/>
                <w:i w:val="0"/>
                <w:color w:val="000000"/>
                <w:sz w:val="20"/>
              </w:rPr>
              <w:t xml:space="preserve">10,337,000.00</w:t>
            </w:r>
          </w:p>
        </w:tc>
        <w:tc>
          <w:tcPr>
            <w:tcW w:w="1720" w:type="dxa"/>
            <w:tcBorders/>
            <w:vAlign w:val="center"/>
          </w:tcPr>
          <w:p>
            <w:pPr>
              <w:snapToGrid w:val="0"/>
              <w:jc w:val="right"/>
            </w:pPr>
            <w:r>
              <w:rPr>
                <w:rFonts w:ascii="宋体" w:eastAsia="宋体" w:hAnsi="宋体" w:cs="宋体"/>
                <w:b w:val="0"/>
                <w:i w:val="0"/>
                <w:color w:val="000000"/>
                <w:sz w:val="20"/>
              </w:rPr>
              <w:t xml:space="preserve">10,337,000.00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snapToGrid w:val="0"/>
              <w:jc w:val="right"/>
            </w:pPr>
            <w:r>
              <w:rPr>
                <w:rFonts w:ascii="宋体" w:eastAsia="宋体" w:hAnsi="宋体" w:cs="宋体"/>
                <w:b w:val="0"/>
                <w:i w:val="0"/>
                <w:color w:val="000000"/>
                <w:sz w:val="20"/>
              </w:rPr>
              <w:t xml:space="preserve">1,854,000.00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1,236,000.00</w:t>
            </w:r>
          </w:p>
        </w:tc>
        <w:tc>
          <w:tcPr>
            <w:tcW w:w="1720" w:type="dxa"/>
            <w:tcBorders/>
            <w:vAlign w:val="center"/>
          </w:tcPr>
          <w:p>
            <w:pPr>
              <w:snapToGrid w:val="0"/>
              <w:jc w:val="right"/>
            </w:pPr>
            <w:r>
              <w:rPr>
                <w:rFonts w:ascii="宋体" w:eastAsia="宋体" w:hAnsi="宋体" w:cs="宋体"/>
                <w:b w:val="0"/>
                <w:i w:val="0"/>
                <w:color w:val="000000"/>
                <w:sz w:val="20"/>
              </w:rPr>
              <w:t xml:space="preserve">1,236,000.00</w:t>
            </w:r>
          </w:p>
        </w:tc>
        <w:tc>
          <w:tcPr>
            <w:tcW w:w="1720" w:type="dxa"/>
            <w:tcBorders/>
            <w:vAlign w:val="center"/>
          </w:tcPr>
          <w:p>
            <w:pPr>
              <w:snapToGrid w:val="0"/>
              <w:jc w:val="right"/>
            </w:pPr>
            <w:r>
              <w:rPr>
                <w:rFonts w:ascii="宋体" w:eastAsia="宋体" w:hAnsi="宋体" w:cs="宋体"/>
                <w:b w:val="0"/>
                <w:i w:val="0"/>
                <w:color w:val="000000"/>
                <w:sz w:val="20"/>
              </w:rPr>
              <w:t xml:space="preserve">1,236,000.00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snapToGrid w:val="0"/>
              <w:jc w:val="right"/>
            </w:pPr>
            <w:r>
              <w:rPr>
                <w:rFonts w:ascii="宋体" w:eastAsia="宋体" w:hAnsi="宋体" w:cs="宋体"/>
                <w:b w:val="0"/>
                <w:i w:val="0"/>
                <w:color w:val="000000"/>
                <w:sz w:val="20"/>
              </w:rPr>
              <w:t xml:space="preserve">618,000.00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snapToGrid w:val="0"/>
              <w:jc w:val="right"/>
            </w:pPr>
            <w:r>
              <w:rPr>
                <w:rFonts w:ascii="宋体" w:eastAsia="宋体" w:hAnsi="宋体" w:cs="宋体"/>
                <w:b w:val="0"/>
                <w:i w:val="0"/>
                <w:color w:val="000000"/>
                <w:sz w:val="20"/>
              </w:rPr>
              <w:t xml:space="preserve">438,000.00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snapToGrid w:val="0"/>
              <w:jc w:val="right"/>
            </w:pPr>
            <w:r>
              <w:rPr>
                <w:rFonts w:ascii="宋体" w:eastAsia="宋体" w:hAnsi="宋体" w:cs="宋体"/>
                <w:b w:val="0"/>
                <w:i w:val="0"/>
                <w:color w:val="000000"/>
                <w:sz w:val="20"/>
              </w:rPr>
              <w:t xml:space="preserve">386,000.00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52,000.00</w:t>
            </w:r>
          </w:p>
        </w:tc>
        <w:tc>
          <w:tcPr>
            <w:tcW w:w="1720" w:type="dxa"/>
            <w:tcBorders/>
            <w:vAlign w:val="center"/>
          </w:tcPr>
          <w:p>
            <w:pPr>
              <w:snapToGrid w:val="0"/>
              <w:jc w:val="right"/>
            </w:pPr>
            <w:r>
              <w:rPr>
                <w:rFonts w:ascii="宋体" w:eastAsia="宋体" w:hAnsi="宋体" w:cs="宋体"/>
                <w:b w:val="0"/>
                <w:i w:val="0"/>
                <w:color w:val="000000"/>
                <w:sz w:val="20"/>
              </w:rPr>
              <w:t xml:space="preserve">52,000.00</w:t>
            </w:r>
          </w:p>
        </w:tc>
        <w:tc>
          <w:tcPr>
            <w:tcW w:w="1720" w:type="dxa"/>
            <w:tcBorders/>
            <w:vAlign w:val="center"/>
          </w:tcPr>
          <w:p>
            <w:pPr>
              <w:snapToGrid w:val="0"/>
              <w:jc w:val="right"/>
            </w:pPr>
            <w:r>
              <w:rPr>
                <w:rFonts w:ascii="宋体" w:eastAsia="宋体" w:hAnsi="宋体" w:cs="宋体"/>
                <w:b w:val="0"/>
                <w:i w:val="0"/>
                <w:color w:val="000000"/>
                <w:sz w:val="20"/>
              </w:rPr>
              <w:t xml:space="preserve">52,000.00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snapToGrid w:val="0"/>
              <w:jc w:val="right"/>
            </w:pPr>
            <w:r>
              <w:rPr>
                <w:rFonts w:ascii="宋体" w:eastAsia="宋体" w:hAnsi="宋体" w:cs="宋体"/>
                <w:b w:val="0"/>
                <w:i w:val="0"/>
                <w:color w:val="000000"/>
                <w:sz w:val="20"/>
              </w:rPr>
              <w:t xml:space="preserve">8,045,000.00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10,337,000.00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3,797,061.61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1,502,679.45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1,406,258.94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1,236,000.00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618,000.00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438,000.00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156,815.28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1,182,184.72</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10,337,000.00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天津市地质研究和海洋地质中心2024年度政府性基金预算财政拨款收入支出决算表为空表。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天津市地质研究和海洋地质中心2024年国有资本经营预算财政拨款收入支出决算表为空表。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天津市地质研究和海洋地质中心2024年财政拨款“三公”经费支出决算表为空表。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单位：天津市地质研究和海洋地质中心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天津市地质研究和海洋地质中心2024年项目支出决算表为空表。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天津市地质研究和海洋地质中心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80,579,975.74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增加31,518,505.48元，增长64.243%</w:t>
      </w:r>
      <w:r>
        <w:rPr>
          <w:rFonts w:eastAsia="仿宋_GB2312" w:hint="eastAsia"/>
          <w:sz w:val="30"/>
          <w:szCs w:val="30"/>
        </w:rPr>
        <w:t xml:space="preserve">，主要原因是</w:t>
      </w:r>
      <w:r>
        <w:rPr>
          <w:rFonts w:eastAsia="仿宋_GB2312" w:hint="eastAsia"/>
          <w:sz w:val="30"/>
          <w:szCs w:val="30"/>
        </w:rPr>
        <w:t xml:space="preserve">事业单位经营收、支增加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一般公共预算财政拨款收入10,337,000.00元、事业单位经营收入74,480,568.46元、其他收入125,753.45元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社会保障和就业支出1,854,000.00元、卫生健康支出438,000.00元、自然资源海洋气象等支出73,654,797.32元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w:t>
      </w:r>
      <w:r>
        <w:rPr>
          <w:rFonts w:eastAsia="仿宋_GB2312" w:hint="eastAsia"/>
          <w:sz w:val="30"/>
          <w:szCs w:val="30"/>
        </w:rPr>
        <w:t xml:space="preserve">2024年度本年收入合计</w:t>
      </w:r>
      <w:r>
        <w:rPr>
          <w:rFonts w:eastAsia="仿宋_GB2312" w:hint="eastAsia"/>
          <w:sz w:val="30"/>
          <w:szCs w:val="30"/>
        </w:rPr>
        <w:t xml:space="preserve">84,943,321.91</w:t>
      </w:r>
      <w:r>
        <w:rPr>
          <w:rFonts w:eastAsia="仿宋_GB2312" w:hint="eastAsia"/>
          <w:sz w:val="30"/>
          <w:szCs w:val="30"/>
        </w:rPr>
        <w:t xml:space="preserve">元，与2023年度相比</w:t>
      </w:r>
      <w:r>
        <w:rPr>
          <w:rFonts w:eastAsia="仿宋_GB2312" w:hint="eastAsia"/>
          <w:sz w:val="30"/>
          <w:szCs w:val="30"/>
        </w:rPr>
        <w:t xml:space="preserve">增加50,408,469.58元，</w:t>
      </w:r>
      <w:r>
        <w:rPr>
          <w:rFonts w:eastAsia="仿宋_GB2312" w:hint="eastAsia"/>
          <w:sz w:val="30"/>
          <w:szCs w:val="30"/>
        </w:rPr>
        <w:t xml:space="preserve">主要原因是</w:t>
      </w:r>
      <w:r>
        <w:rPr>
          <w:rFonts w:eastAsia="仿宋_GB2312" w:hint="eastAsia"/>
          <w:sz w:val="30"/>
          <w:szCs w:val="30"/>
        </w:rPr>
        <w:t xml:space="preserve">事业单位经营收入增加</w:t>
      </w:r>
      <w:r>
        <w:rPr>
          <w:rFonts w:eastAsia="仿宋_GB2312" w:hint="eastAsia"/>
          <w:sz w:val="30"/>
          <w:szCs w:val="30"/>
        </w:rPr>
        <w:t xml:space="preserve">。其中：</w:t>
      </w:r>
      <w:r>
        <w:rPr>
          <w:rFonts w:eastAsia="仿宋_GB2312" w:hint="eastAsia"/>
          <w:sz w:val="30"/>
          <w:szCs w:val="30"/>
        </w:rPr>
        <w:t xml:space="preserve">一般公共预算财政拨款收入10,337,000.00元，占12.169%；事业单位经营收入74,480,568.46元，占87.683%；其他收入125,753.45元，占0.148%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75,946,797.32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增加36,739,456.78元，</w:t>
      </w:r>
      <w:r>
        <w:rPr>
          <w:rFonts w:eastAsia="仿宋_GB2312" w:hint="eastAsia"/>
          <w:sz w:val="30"/>
          <w:szCs w:val="30"/>
        </w:rPr>
        <w:t xml:space="preserve">主要原因是</w:t>
      </w:r>
      <w:r>
        <w:rPr>
          <w:rFonts w:eastAsia="仿宋_GB2312" w:hint="eastAsia"/>
          <w:sz w:val="30"/>
          <w:szCs w:val="30"/>
        </w:rPr>
        <w:t xml:space="preserve">事业单位经营支出增加</w:t>
      </w:r>
      <w:r>
        <w:rPr>
          <w:rFonts w:eastAsia="仿宋_GB2312" w:hint="eastAsia"/>
          <w:sz w:val="30"/>
          <w:szCs w:val="30"/>
        </w:rPr>
        <w:t xml:space="preserve">。其中：</w:t>
      </w:r>
      <w:r>
        <w:rPr>
          <w:rFonts w:eastAsia="仿宋_GB2312" w:hint="eastAsia"/>
          <w:sz w:val="30"/>
          <w:szCs w:val="30"/>
        </w:rPr>
        <w:t xml:space="preserve">基本支出10,337,000.00元，占13.611%；经营支出65,609,797.32元，占86.389%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天津市地质研究和海洋地质中心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10,337,000.00</w:t>
      </w:r>
      <w:r>
        <w:rPr>
          <w:rFonts w:eastAsia="仿宋_GB2312" w:hint="eastAsia"/>
          <w:sz w:val="30"/>
          <w:szCs w:val="30"/>
        </w:rPr>
        <w:t xml:space="preserve">元。与2023年度相比，财政拨款收、支总计各</w:t>
      </w:r>
      <w:r>
        <w:rPr>
          <w:rFonts w:eastAsia="仿宋_GB2312" w:hint="eastAsia"/>
          <w:sz w:val="30"/>
          <w:szCs w:val="30"/>
        </w:rPr>
        <w:t xml:space="preserve">减少1,398,000.00元，下降11.913%，</w:t>
      </w:r>
      <w:r>
        <w:rPr>
          <w:rFonts w:eastAsia="仿宋_GB2312" w:hint="eastAsia"/>
          <w:sz w:val="30"/>
          <w:szCs w:val="30"/>
        </w:rPr>
        <w:t xml:space="preserve">主要原因是</w:t>
      </w:r>
      <w:r>
        <w:rPr>
          <w:rFonts w:eastAsia="仿宋_GB2312" w:hint="eastAsia"/>
          <w:sz w:val="30"/>
          <w:szCs w:val="30"/>
        </w:rPr>
        <w:t xml:space="preserve">落实过紧日子，严格按照预算执行</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一般公共预算财政拨款10,337,000.00元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社会保障和就业支出1,854,000.00元、卫生健康支出438,000.00元、自然资源海洋气象等支出8,045,000.00元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天津市地质研究和海洋地质中心2024年度部门决算一般公共预算财政拨款支出合计10,337,000.00元，占本年支出合计的13.611%。与2023年度相比，一般公共预算财政拨款支出</w:t>
      </w:r>
      <w:r>
        <w:rPr>
          <w:rFonts w:eastAsia="仿宋_GB2312" w:hint="eastAsia"/>
          <w:sz w:val="30"/>
          <w:szCs w:val="30"/>
        </w:rPr>
        <w:t xml:space="preserve">减少1,398,000.00元</w:t>
      </w:r>
      <w:r>
        <w:rPr>
          <w:rFonts w:eastAsia="仿宋_GB2312" w:hint="eastAsia"/>
          <w:sz w:val="30"/>
          <w:szCs w:val="30"/>
        </w:rPr>
        <w:t xml:space="preserve">，下降11.913%</w:t>
      </w:r>
      <w:r>
        <w:rPr>
          <w:rFonts w:eastAsia="仿宋_GB2312" w:hint="eastAsia"/>
          <w:sz w:val="30"/>
          <w:szCs w:val="30"/>
        </w:rPr>
        <w:t xml:space="preserve">，主要原因是落实过紧日子，严格按照预算执行。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2024年度一般公共预算财政拨款支出10,337,000.00元，主要用于以下方面：</w:t>
      </w:r>
      <w:r>
        <w:rPr>
          <w:rFonts w:eastAsia="仿宋_GB2312" w:hint="eastAsia"/>
          <w:sz w:val="30"/>
          <w:szCs w:val="30"/>
        </w:rPr>
        <w:t xml:space="preserve">社会保障和就业支出（类）支出1,854,000.00元，占17.936%,卫生健康支出（类）支出438,000.00元，占4.237%,自然资源海洋气象等支出（类）支出8,045,000.00元，占77.827%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2024年度一般公共预算财政拨款支出年初预算为10,337,000.00元，支出决算为10,337,000.00元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1,236,000.00元，支出决算为1,236,000.00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618,000.00元，支出决算为618,000.00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3.卫生健康支出（类）行政事业单位医疗（款）事业单位医疗（项）年初预算为386,000.00元，支出决算为386,000.00元，完成年初预算的100.000%，决算数与预算数持平的主要原因是：厉行节约，严格按照预算执行。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52,000.00元，支出决算为52,000.00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事业运行（项）年初预算为8,045,000.00元，支出决算为8,045,000.00元，完成年初预算的100.000%，决算数与预算数持平的主要原因是：厉行节约，严格按照预算执行。</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10,337,000.00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减少1,398,000.00元，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人员经费10,337,000.00元，主要包括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天津市地质研究和海洋地质中心2024年度无政府性基金预算财政拨款收入、支出和结转结余。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天津市地质研究和海洋地质中心2024年度无机关运行经费。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地质研究和海洋地质中心2024年政府采购支出总额3,980.00元，其中：政府采购货物支出3,980.00元、政府采购工程支出0.00元、政府采购服务支出0.00元。授予中小企业合同金额3,980.00元，占政府采购支出总额的100.000%，其中：授予小微企业合同金额3,980.00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截至2024年12月31日，天津市地质研究和海洋地质中心共有车辆4辆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，其他用车主要包括地质勘探工作用车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天津市地质研究和海洋地质中心2024年度没有项目支出，无需开展绩效自评。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天津市地质研究和海洋地质中心不属于乡、镇、街级单位，不涉及公开2024年度教育、医疗卫生、社会保障和就业、住房保障、涉农补贴等民生支出情况。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