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v:background id="_x0000_s1025" filled="t" fillcolor="white">
      <v:fill color2="white"/>
    </v:background>
  </w:background>
  <w:body>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580" w:lineRule="exact"/>
        <w:jc w:val="center"/>
        <w:rPr>
          <w:rFonts w:eastAsia="黑体"/>
          <w:w w:val="95"/>
          <w:sz w:val="44"/>
          <w:szCs w:val="44"/>
          <w:highlight w:val="none"/>
        </w:rPr>
      </w:pPr>
    </w:p>
    <w:p>
      <w:pPr>
        <w:divId w:val="0"/>
        <w:spacing w:line="240" w:lineRule="auto"/>
        <w:jc w:val="center"/>
        <w:rPr>
          <w:rFonts w:ascii="方正小标宋简体" w:eastAsia="方正小标宋简体" w:hAnsi="方正小标宋简体" w:cs="方正小标宋简体" w:hint="eastAsia"/>
          <w:sz w:val="48"/>
          <w:szCs w:val="48"/>
          <w:highlight w:val="none"/>
          <w:lang w:val="en-US" w:eastAsia="zh-CN"/>
        </w:rPr>
      </w:pPr>
      <w:r>
        <w:rPr>
          <w:rFonts w:ascii="方正小标宋简体" w:eastAsia="方正小标宋简体" w:hAnsi="方正小标宋简体" w:cs="方正小标宋简体" w:hint="eastAsia"/>
          <w:sz w:val="48"/>
          <w:szCs w:val="48"/>
          <w:highlight w:val="none"/>
          <w:lang w:val="en-US" w:eastAsia="zh-CN"/>
        </w:rPr>
        <w:t xml:space="preserve">华北地质勘查局第四地质大队</w:t>
      </w:r>
    </w:p>
    <w:p>
      <w:pPr>
        <w:divId w:val="0"/>
        <w:spacing w:line="240" w:lineRule="auto"/>
        <w:jc w:val="center"/>
        <w:rPr>
          <w:rFonts w:ascii="方正小标宋简体" w:eastAsia="方正小标宋简体" w:hAnsi="方正小标宋简体" w:cs="方正小标宋简体" w:hint="eastAsia"/>
          <w:w w:val="95"/>
          <w:sz w:val="48"/>
          <w:szCs w:val="48"/>
          <w:highlight w:val="none"/>
        </w:rPr>
      </w:pPr>
      <w:r>
        <w:rPr>
          <w:rFonts w:ascii="方正小标宋简体" w:eastAsia="方正小标宋简体" w:hAnsi="方正小标宋简体" w:cs="方正小标宋简体" w:hint="eastAsia"/>
          <w:sz w:val="48"/>
          <w:szCs w:val="48"/>
          <w:highlight w:val="none"/>
          <w:lang w:eastAsia="zh-CN"/>
        </w:rPr>
        <w:t xml:space="preserve">202</w:t>
      </w:r>
      <w:r>
        <w:rPr>
          <w:rFonts w:ascii="方正小标宋简体" w:eastAsia="方正小标宋简体" w:hAnsi="方正小标宋简体" w:cs="方正小标宋简体" w:hint="eastAsia"/>
          <w:sz w:val="48"/>
          <w:szCs w:val="48"/>
          <w:highlight w:val="none"/>
          <w:lang w:val="en-US" w:eastAsia="zh-CN"/>
        </w:rPr>
        <w:t xml:space="preserve">5</w:t>
      </w:r>
      <w:r>
        <w:rPr>
          <w:rFonts w:ascii="方正小标宋简体" w:eastAsia="方正小标宋简体" w:hAnsi="方正小标宋简体" w:cs="方正小标宋简体" w:hint="eastAsia"/>
          <w:sz w:val="48"/>
          <w:szCs w:val="48"/>
          <w:highlight w:val="none"/>
        </w:rPr>
        <w:t xml:space="preserve">年度</w:t>
      </w:r>
      <w:r>
        <w:rPr>
          <w:rFonts w:ascii="方正小标宋简体" w:eastAsia="方正小标宋简体" w:hAnsi="方正小标宋简体" w:cs="方正小标宋简体" w:hint="eastAsia"/>
          <w:sz w:val="48"/>
          <w:szCs w:val="48"/>
          <w:highlight w:val="none"/>
          <w:lang w:val="en-US" w:eastAsia="zh-CN"/>
        </w:rPr>
        <w:t xml:space="preserve">单位</w:t>
      </w:r>
      <w:r>
        <w:rPr>
          <w:rFonts w:ascii="方正小标宋简体" w:eastAsia="方正小标宋简体" w:hAnsi="方正小标宋简体" w:cs="方正小标宋简体" w:hint="eastAsia"/>
          <w:sz w:val="48"/>
          <w:szCs w:val="48"/>
          <w:highlight w:val="none"/>
        </w:rPr>
        <w:t xml:space="preserve">决算</w:t>
      </w: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580" w:lineRule="exact"/>
        <w:jc w:val="center"/>
        <w:rPr>
          <w:rFonts w:ascii="黑体" w:eastAsia="黑体" w:hint="eastAsia"/>
          <w:sz w:val="30"/>
          <w:szCs w:val="30"/>
          <w:highlight w:val="none"/>
        </w:rPr>
      </w:pPr>
    </w:p>
    <w:p>
      <w:pPr>
        <w:divId w:val="0"/>
        <w:spacing w:line="600" w:lineRule="exact"/>
        <w:jc w:val="center"/>
        <w:rPr>
          <w:rFonts w:ascii="黑体" w:eastAsia="黑体" w:hint="eastAsia"/>
          <w:sz w:val="44"/>
          <w:szCs w:val="44"/>
          <w:highlight w:val="none"/>
        </w:rPr>
        <w:sectPr>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p>
    <w:p>
      <w:pPr>
        <w:divId w:val="0"/>
        <w:spacing w:line="600" w:lineRule="exact"/>
        <w:jc w:val="center"/>
        <w:rPr>
          <w:rFonts w:ascii="黑体" w:eastAsia="黑体" w:hint="eastAsia"/>
          <w:sz w:val="44"/>
          <w:szCs w:val="44"/>
          <w:highlight w:val="none"/>
        </w:rPr>
      </w:pPr>
    </w:p>
    <w:p>
      <w:pPr>
        <w:divId w:val="0"/>
        <w:spacing w:line="600" w:lineRule="exact"/>
        <w:jc w:val="center"/>
        <w:rPr>
          <w:rFonts w:ascii="黑体" w:eastAsia="黑体" w:hint="eastAsia"/>
          <w:sz w:val="44"/>
          <w:szCs w:val="44"/>
          <w:highlight w:val="none"/>
        </w:rPr>
      </w:pPr>
      <w:r>
        <w:rPr>
          <w:rFonts w:ascii="黑体" w:eastAsia="黑体" w:hint="eastAsia"/>
          <w:sz w:val="44"/>
          <w:szCs w:val="44"/>
          <w:highlight w:val="none"/>
        </w:rPr>
        <w:t xml:space="preserve">目</w:t>
      </w:r>
      <w:r>
        <w:rPr>
          <w:rFonts w:ascii="黑体" w:eastAsia="黑体" w:hint="eastAsia"/>
          <w:sz w:val="44"/>
          <w:szCs w:val="44"/>
          <w:highlight w:val="none"/>
        </w:rPr>
        <w:t xml:space="preserve">  </w:t>
      </w:r>
      <w:r>
        <w:rPr>
          <w:rFonts w:ascii="黑体" w:eastAsia="黑体" w:hint="eastAsia"/>
          <w:sz w:val="44"/>
          <w:szCs w:val="44"/>
          <w:highlight w:val="none"/>
        </w:rPr>
        <w:t xml:space="preserve"> </w:t>
      </w:r>
      <w:r>
        <w:rPr>
          <w:rFonts w:ascii="黑体" w:eastAsia="黑体" w:hint="eastAsia"/>
          <w:sz w:val="44"/>
          <w:szCs w:val="44"/>
          <w:highlight w:val="none"/>
        </w:rPr>
        <w:t xml:space="preserve">录</w:t>
      </w:r>
    </w:p>
    <w:p>
      <w:pPr>
        <w:divId w:val="0"/>
        <w:spacing w:line="600" w:lineRule="exact"/>
        <w:rPr>
          <w:rFonts w:ascii="黑体" w:eastAsia="黑体" w:hint="eastAsia"/>
          <w:sz w:val="30"/>
          <w:szCs w:val="30"/>
          <w:highlight w:val="none"/>
        </w:rPr>
      </w:pP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TOC \o "1-3" \h \z \u</w:instrText>
      </w:r>
      <w:r>
        <w:rPr>
          <w:rFonts w:ascii="仿宋" w:eastAsia="仿宋" w:hAnsi="仿宋" w:cs="仿宋"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第一部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概</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况</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default"/>
          <w:sz w:val="30"/>
          <w:szCs w:val="30"/>
          <w:highlight w:val="none"/>
          <w:lang w:val="en-US" w:eastAsia="zh-CN"/>
        </w:rPr>
        <w:fldChar w:fldCharType="begin"/>
      </w:r>
      <w:r>
        <w:rPr>
          <w:rFonts w:ascii="Times New Roman" w:eastAsia="方正小标宋简体" w:hAnsi="Times New Roman" w:cs="Times New Roman" w:hint="default"/>
          <w:sz w:val="30"/>
          <w:szCs w:val="30"/>
          <w:highlight w:val="none"/>
          <w:lang w:val="en-US" w:eastAsia="zh-CN"/>
        </w:rPr>
        <w:instrText xml:space="preserve"> PAGEREF _Toc544 \h </w:instrText>
      </w:r>
      <w:r>
        <w:rPr>
          <w:rFonts w:ascii="Times New Roman" w:eastAsia="方正小标宋简体" w:hAnsi="Times New Roman" w:cs="Times New Roman" w:hint="default"/>
          <w:sz w:val="30"/>
          <w:szCs w:val="30"/>
          <w:highlight w:val="none"/>
          <w:lang w:val="en-US" w:eastAsia="zh-CN"/>
        </w:rPr>
        <w:fldChar w:fldCharType="separate"/>
      </w:r>
      <w:r>
        <w:rPr>
          <w:rFonts w:ascii="Times New Roman" w:eastAsia="方正小标宋简体" w:hAnsi="Times New Roman" w:cs="Times New Roman" w:hint="default"/>
          <w:sz w:val="30"/>
          <w:szCs w:val="30"/>
          <w:highlight w:val="none"/>
          <w:lang w:val="en-US" w:eastAsia="zh-CN"/>
        </w:rPr>
        <w:t xml:space="preserve">1</w:t>
      </w:r>
      <w:r>
        <w:rPr>
          <w:rFonts w:ascii="Times New Roman" w:eastAsia="方正小标宋简体" w:hAnsi="Times New Roman" w:cs="Times New Roman" w:hint="default"/>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一、主要职责</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_Toc31533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方正小标宋简体" w:eastAsia="方正小标宋简体" w:hAnsi="方正小标宋简体" w:cs="方正小标宋简体"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二、机构设置</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_Toc31383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第二部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_Toc24540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_Toc23540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二、《收入决算表（按功能分类列示）》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_Toc8357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三、《收入决算表（按单位列示）》</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_Toc12692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_Toc1008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五、《财政拨款收入支出决算总表》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_Toc22229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_Toc13290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10</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七、《一般公共预算财政拨款基本支出决算表》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_Toc16463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八、《政府性基金预算财政拨款收入支出决算表》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_Toc360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14</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九、《国有资本经营预算财政拨款收入支出决算表》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_Toc22450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15</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_Toc25280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16</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十一、《项目支出决算表》</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_Toc18372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17</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rPr>
          <w:rFonts w:ascii="方正小标宋简体" w:eastAsia="方正小标宋简体" w:hAnsi="方正小标宋简体" w:cs="方正小标宋简体" w:hint="eastAsia"/>
          <w:sz w:val="30"/>
          <w:szCs w:val="30"/>
          <w:highlight w:val="none"/>
          <w:lang w:val="en-US" w:eastAsia="zh-CN"/>
        </w:rPr>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第三部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202</w:t>
      </w:r>
      <w:r>
        <w:rPr>
          <w:rFonts w:ascii="方正小标宋简体" w:eastAsia="方正小标宋简体" w:hAnsi="方正小标宋简体" w:cs="方正小标宋简体" w:hint="eastAsia"/>
          <w:sz w:val="30"/>
          <w:szCs w:val="30"/>
          <w:highlight w:val="none"/>
          <w:lang w:val="en-US" w:eastAsia="zh-CN"/>
        </w:rPr>
        <w:t xml:space="preserve">5</w:t>
      </w:r>
      <w:r>
        <w:rPr>
          <w:rFonts w:ascii="方正小标宋简体" w:eastAsia="方正小标宋简体" w:hAnsi="方正小标宋简体" w:cs="方正小标宋简体" w:hint="eastAsia"/>
          <w:sz w:val="30"/>
          <w:szCs w:val="30"/>
          <w:highlight w:val="none"/>
          <w:lang w:val="en-US" w:eastAsia="zh-CN"/>
        </w:rPr>
        <w:t xml:space="preserve">年度单位决算情况说明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_Toc13918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一、收入支出决算总体情况说明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_Toc16656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二、收入决算情况说明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_Toc20266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三、支出决算情况说明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_Toc17730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四、财政拨款收支决算总体情况说明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_Toc16631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18</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五、一般公共预算财政拨款支出决算情况说明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_Toc13902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19</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六、一般公共预算财政拨款基本支出决算情况说明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_Toc21908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七、政府性基金预算财政拨款收支决算情况说明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_Toc4044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八、国有资本经营预算财政拨款收支决算情况说明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_Toc5943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九、财政拨</w:t>
      </w:r>
      <w:r>
        <w:rPr>
          <w:rFonts w:ascii="仿宋" w:eastAsia="仿宋" w:hAnsi="仿宋" w:cs="仿宋" w:hint="eastAsia"/>
          <w:sz w:val="30"/>
          <w:szCs w:val="30"/>
          <w:highlight w:val="none"/>
          <w:lang w:val="en-US" w:eastAsia="zh-CN"/>
        </w:rPr>
        <w:t xml:space="preserve">款</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三</w:t>
      </w:r>
      <w:r>
        <w:rPr>
          <w:rFonts w:ascii="仿宋" w:eastAsia="仿宋" w:hAnsi="仿宋" w:cs="仿宋" w:hint="eastAsia"/>
          <w:sz w:val="30"/>
          <w:szCs w:val="30"/>
          <w:highlight w:val="none"/>
          <w:lang w:val="en-US" w:eastAsia="zh-CN"/>
        </w:rPr>
        <w:t xml:space="preserve">公</w:t>
      </w:r>
      <w:r>
        <w:rPr>
          <w:rFonts w:ascii="仿宋" w:eastAsia="仿宋" w:hAnsi="仿宋" w:cs="仿宋" w:hint="eastAsia"/>
          <w:sz w:val="30"/>
          <w:szCs w:val="30"/>
          <w:highlight w:val="none"/>
          <w:lang w:val="en-US" w:eastAsia="zh-CN"/>
        </w:rPr>
        <w:t xml:space="preserve">”</w:t>
      </w:r>
      <w:r>
        <w:rPr>
          <w:rFonts w:ascii="仿宋" w:eastAsia="仿宋" w:hAnsi="仿宋" w:cs="仿宋" w:hint="eastAsia"/>
          <w:sz w:val="30"/>
          <w:szCs w:val="30"/>
          <w:highlight w:val="none"/>
          <w:lang w:val="en-US" w:eastAsia="zh-CN"/>
        </w:rPr>
        <w:t xml:space="preserve">经费支出决算情况说明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_Toc9262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21</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十、机关运行经费支出情况说明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_Toc850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十一、政府采购支出情况说明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_Toc17600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十二、国有资产占有使用情况说明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_Toc20762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十三、预算绩效情况说明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_Toc12945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ind w:left="0" w:firstLine="240" w:leftChars="0" w:firstLineChars="80"/>
        <w:rPr>
          <w:rFonts w:ascii="仿宋" w:eastAsia="仿宋" w:hAnsi="仿宋" w:cs="仿宋" w:hint="eastAsia"/>
          <w:sz w:val="30"/>
          <w:szCs w:val="30"/>
          <w:highlight w:val="none"/>
          <w:lang w:val="en-US" w:eastAsia="zh-CN"/>
        </w:rPr>
      </w:pPr>
      <w:r>
        <w:rPr>
          <w:rFonts w:ascii="仿宋" w:eastAsia="仿宋" w:hAnsi="仿宋" w:cs="仿宋" w:hint="eastAsia"/>
          <w:sz w:val="30"/>
          <w:szCs w:val="30"/>
          <w:highlight w:val="none"/>
          <w:lang w:val="en-US" w:eastAsia="zh-CN"/>
        </w:rPr>
        <w:fldChar w:fldCharType="begin"/>
      </w:r>
      <w:r>
        <w:rPr>
          <w:rFonts w:ascii="仿宋" w:eastAsia="仿宋" w:hAnsi="仿宋" w:cs="仿宋" w:hint="eastAsia"/>
          <w:sz w:val="30"/>
          <w:szCs w:val="30"/>
          <w:highlight w:val="none"/>
          <w:lang w:val="en-US" w:eastAsia="zh-CN"/>
        </w:rPr>
        <w:instrText xml:space="preserve"> HYPERLINK   \l " "</w:instrText>
      </w:r>
      <w:r>
        <w:rPr>
          <w:rFonts w:ascii="仿宋" w:eastAsia="仿宋" w:hAnsi="仿宋" w:cs="仿宋" w:hint="eastAsia"/>
          <w:sz w:val="30"/>
          <w:szCs w:val="30"/>
          <w:highlight w:val="none"/>
          <w:lang w:val="en-US" w:eastAsia="zh-CN"/>
        </w:rPr>
        <w:fldChar w:fldCharType="separate"/>
      </w:r>
      <w:r>
        <w:rPr>
          <w:rFonts w:ascii="仿宋" w:eastAsia="仿宋" w:hAnsi="仿宋" w:cs="仿宋" w:hint="eastAsia"/>
          <w:sz w:val="30"/>
          <w:szCs w:val="30"/>
          <w:highlight w:val="none"/>
          <w:lang w:val="en-US" w:eastAsia="zh-CN"/>
        </w:rPr>
        <w:t xml:space="preserve">十四、教育、医疗卫生、社会保障和就业、住房保障、涉农补贴等民生支出情况说明</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_Toc20809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23</w:t>
      </w:r>
      <w:r>
        <w:rPr>
          <w:rFonts w:ascii="Times New Roman" w:eastAsia="方正小标宋简体" w:hAnsi="Times New Roman" w:cs="Times New Roman" w:hint="eastAsia"/>
          <w:sz w:val="30"/>
          <w:szCs w:val="30"/>
          <w:highlight w:val="none"/>
          <w:lang w:val="en-US" w:eastAsia="zh-CN"/>
        </w:rPr>
        <w:fldChar w:fldCharType="end"/>
      </w:r>
      <w:r>
        <w:rPr>
          <w:rFonts w:ascii="仿宋" w:eastAsia="仿宋" w:hAnsi="仿宋" w:cs="仿宋" w:hint="eastAsia"/>
          <w:sz w:val="30"/>
          <w:szCs w:val="30"/>
          <w:highlight w:val="none"/>
          <w:lang w:val="en-US" w:eastAsia="zh-CN"/>
        </w:rPr>
        <w:fldChar w:fldCharType="end"/>
      </w:r>
    </w:p>
    <w:p>
      <w:pPr>
        <w:pStyle w:val="目录1"/>
        <w:tabs>
          <w:tab w:val="clear" w:pos="8296"/>
          <w:tab w:val="right" w:leader="dot" w:pos="8306"/>
        </w:tabs>
      </w:pPr>
      <w:r>
        <w:rPr>
          <w:rFonts w:ascii="方正小标宋简体" w:eastAsia="方正小标宋简体" w:hAnsi="方正小标宋简体" w:cs="方正小标宋简体" w:hint="eastAsia"/>
          <w:sz w:val="30"/>
          <w:szCs w:val="30"/>
          <w:highlight w:val="none"/>
          <w:lang w:val="en-US" w:eastAsia="zh-CN"/>
        </w:rPr>
        <w:fldChar w:fldCharType="begin"/>
      </w:r>
      <w:r>
        <w:rPr>
          <w:rFonts w:ascii="方正小标宋简体" w:eastAsia="方正小标宋简体" w:hAnsi="方正小标宋简体" w:cs="方正小标宋简体" w:hint="eastAsia"/>
          <w:sz w:val="30"/>
          <w:szCs w:val="30"/>
          <w:highlight w:val="none"/>
          <w:lang w:val="en-US" w:eastAsia="zh-CN"/>
        </w:rPr>
        <w:instrText xml:space="preserve"> HYPERLINK   \l " "</w:instrText>
      </w:r>
      <w:r>
        <w:rPr>
          <w:rFonts w:ascii="方正小标宋简体" w:eastAsia="方正小标宋简体" w:hAnsi="方正小标宋简体" w:cs="方正小标宋简体" w:hint="eastAsia"/>
          <w:sz w:val="30"/>
          <w:szCs w:val="30"/>
          <w:highlight w:val="none"/>
          <w:lang w:val="en-US" w:eastAsia="zh-CN"/>
        </w:rPr>
        <w:fldChar w:fldCharType="separate"/>
      </w:r>
      <w:r>
        <w:rPr>
          <w:rFonts w:ascii="方正小标宋简体" w:eastAsia="方正小标宋简体" w:hAnsi="方正小标宋简体" w:cs="方正小标宋简体" w:hint="eastAsia"/>
          <w:sz w:val="30"/>
          <w:szCs w:val="30"/>
          <w:highlight w:val="none"/>
          <w:lang w:val="en-US" w:eastAsia="zh-CN"/>
        </w:rPr>
        <w:t xml:space="preserve">第四部</w:t>
      </w:r>
      <w:r>
        <w:rPr>
          <w:rFonts w:ascii="方正小标宋简体" w:eastAsia="方正小标宋简体" w:hAnsi="方正小标宋简体" w:cs="方正小标宋简体" w:hint="eastAsia"/>
          <w:sz w:val="30"/>
          <w:szCs w:val="30"/>
          <w:highlight w:val="none"/>
          <w:lang w:val="en-US" w:eastAsia="zh-CN"/>
        </w:rPr>
        <w:t xml:space="preserve">分</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 </w:t>
      </w:r>
      <w:r>
        <w:rPr>
          <w:rFonts w:ascii="方正小标宋简体" w:eastAsia="方正小标宋简体" w:hAnsi="方正小标宋简体" w:cs="方正小标宋简体" w:hint="eastAsia"/>
          <w:sz w:val="30"/>
          <w:szCs w:val="30"/>
          <w:highlight w:val="none"/>
          <w:lang w:val="en-US" w:eastAsia="zh-CN"/>
        </w:rPr>
        <w:t xml:space="preserve">名词解释</w:t>
      </w:r>
      <w:r>
        <w:rPr>
          <w:rFonts w:ascii="仿宋" w:eastAsia="仿宋" w:hAnsi="仿宋" w:cs="仿宋" w:hint="eastAsia"/>
          <w:sz w:val="30"/>
          <w:szCs w:val="30"/>
          <w:highlight w:val="none"/>
          <w:lang w:val="en-US" w:eastAsia="zh-CN"/>
        </w:rPr>
        <w:tab/>
      </w:r>
      <w:r>
        <w:rPr>
          <w:rFonts w:ascii="Times New Roman" w:eastAsia="方正小标宋简体" w:hAnsi="Times New Roman" w:cs="Times New Roman" w:hint="eastAsia"/>
          <w:sz w:val="30"/>
          <w:szCs w:val="30"/>
          <w:highlight w:val="none"/>
          <w:lang w:val="en-US" w:eastAsia="zh-CN"/>
        </w:rPr>
        <w:fldChar w:fldCharType="begin"/>
      </w:r>
      <w:r>
        <w:rPr>
          <w:rFonts w:ascii="Times New Roman" w:eastAsia="方正小标宋简体" w:hAnsi="Times New Roman" w:cs="Times New Roman" w:hint="eastAsia"/>
          <w:sz w:val="30"/>
          <w:szCs w:val="30"/>
          <w:highlight w:val="none"/>
          <w:lang w:val="en-US" w:eastAsia="zh-CN"/>
        </w:rPr>
        <w:instrText xml:space="preserve"> PAGEREF _Toc26550 \h </w:instrText>
      </w:r>
      <w:r>
        <w:rPr>
          <w:rFonts w:ascii="Times New Roman" w:eastAsia="方正小标宋简体" w:hAnsi="Times New Roman" w:cs="Times New Roman" w:hint="eastAsia"/>
          <w:sz w:val="30"/>
          <w:szCs w:val="30"/>
          <w:highlight w:val="none"/>
          <w:lang w:val="en-US" w:eastAsia="zh-CN"/>
        </w:rPr>
        <w:fldChar w:fldCharType="separate"/>
      </w:r>
      <w:r>
        <w:rPr>
          <w:rFonts w:ascii="Times New Roman" w:eastAsia="方正小标宋简体" w:hAnsi="Times New Roman" w:cs="Times New Roman" w:hint="eastAsia"/>
          <w:sz w:val="30"/>
          <w:szCs w:val="30"/>
          <w:highlight w:val="none"/>
          <w:lang w:val="en-US" w:eastAsia="zh-CN"/>
        </w:rPr>
        <w:t xml:space="preserve">24</w:t>
      </w:r>
      <w:r>
        <w:rPr>
          <w:rFonts w:ascii="Times New Roman" w:eastAsia="方正小标宋简体" w:hAnsi="Times New Roman" w:cs="Times New Roman" w:hint="eastAsia"/>
          <w:sz w:val="30"/>
          <w:szCs w:val="30"/>
          <w:highlight w:val="none"/>
          <w:lang w:val="en-US" w:eastAsia="zh-CN"/>
        </w:rPr>
        <w:fldChar w:fldCharType="end"/>
      </w:r>
      <w:r>
        <w:rPr>
          <w:rFonts w:ascii="方正小标宋简体" w:eastAsia="方正小标宋简体" w:hAnsi="方正小标宋简体" w:cs="方正小标宋简体" w:hint="eastAsia"/>
          <w:sz w:val="30"/>
          <w:szCs w:val="30"/>
          <w:highlight w:val="none"/>
          <w:lang w:val="en-US" w:eastAsia="zh-CN"/>
        </w:rPr>
        <w:fldChar w:fldCharType="end"/>
      </w:r>
    </w:p>
    <w:p>
      <w:pPr>
        <w:pStyle w:val="目录1"/>
        <w:tabs>
          <w:tab w:val="clear" w:pos="8296"/>
          <w:tab w:val="right" w:leader="dot" w:pos="8306"/>
        </w:tabs>
        <w:rPr>
          <w:rFonts w:ascii="Times New Roman" w:eastAsia="方正仿宋_GB2312" w:hAnsi="Times New Roman"/>
          <w:sz w:val="32"/>
          <w:szCs w:val="32"/>
          <w:highlight w:val="none"/>
        </w:rPr>
        <w:sectPr>
          <w:footerReference w:type="default" r:id="rId4"/>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sectPr>
      </w:pPr>
      <w:r>
        <w:rPr>
          <w:rFonts w:ascii="仿宋" w:eastAsia="仿宋" w:hAnsi="仿宋" w:cs="仿宋" w:hint="eastAsia"/>
          <w:szCs w:val="30"/>
          <w:highlight w:val="none"/>
          <w:lang w:val="en-US" w:eastAsia="zh-CN"/>
        </w:rPr>
        <w:fldChar w:fldCharType="end"/>
      </w:r>
    </w:p>
    <w:p>
      <w:pPr>
        <w:rPr>
          <w:rFonts w:hint="eastAsia"/>
          <w:highlight w:val="none"/>
        </w:rPr>
      </w:pP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0" w:name="_Toc544"/>
      <w:r>
        <w:rPr>
          <w:rFonts w:ascii="方正小标宋简体" w:eastAsia="方正小标宋简体" w:hAnsi="方正小标宋简体" w:cs="方正小标宋简体" w:hint="eastAsia"/>
          <w:b w:val="0"/>
          <w:lang w:val="en-US" w:eastAsia="zh-CN"/>
        </w:rPr>
        <w:t xml:space="preserve">第一部分  概 况</w:t>
      </w:r>
      <w:bookmarkEnd w:id="0"/>
    </w:p>
    <w:p>
      <w:pPr>
        <w:divId w:val="0"/>
        <w:spacing w:line="600" w:lineRule="exact"/>
        <w:rPr>
          <w:rFonts w:hint="eastAsia"/>
          <w:highlight w:val="none"/>
        </w:rPr>
      </w:pPr>
    </w:p>
    <w:p>
      <w:pPr>
        <w:pStyle w:val="标题2"/>
        <w:wordWrap w:val="0"/>
        <w:spacing w:before="0" w:after="0" w:line="800" w:lineRule="exact"/>
        <w:ind w:firstLine="600" w:firstLineChars="200"/>
        <w:rPr>
          <w:rFonts w:ascii="黑体" w:eastAsia="黑体" w:hAnsi="黑体" w:hint="eastAsia"/>
          <w:b w:val="0"/>
          <w:bCs w:val="0"/>
          <w:sz w:val="30"/>
          <w:szCs w:val="30"/>
          <w:highlight w:val="none"/>
        </w:rPr>
      </w:pPr>
      <w:bookmarkStart w:id="1" w:name="_Toc31533"/>
      <w:r>
        <w:rPr>
          <w:rFonts w:ascii="黑体" w:eastAsia="黑体" w:hAnsi="黑体" w:hint="eastAsia"/>
          <w:sz w:val="30"/>
          <w:szCs w:val="30"/>
          <w:lang w:val="en-US" w:eastAsia="zh-CN"/>
        </w:rPr>
        <w:t xml:space="preserve">一、主要职责</w:t>
      </w:r>
      <w:bookmarkEnd w:id="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华北地质勘查局第四地质大队</w:t>
      </w:r>
      <w:r>
        <w:rPr>
          <w:rFonts w:eastAsia="仿宋_GB2312" w:hint="eastAsia"/>
          <w:sz w:val="30"/>
          <w:szCs w:val="30"/>
          <w:highlight w:val="none"/>
          <w:lang w:val="en-US" w:eastAsia="zh-CN"/>
        </w:rPr>
        <w:t xml:space="preserve">的主要职责是</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承担国家和地方地质钻探任务，负责全局地质勘探找矿、规模工程地质勘察与基础施工</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黑体" w:eastAsia="黑体" w:hAnsi="黑体" w:hint="eastAsia"/>
          <w:b w:val="0"/>
          <w:bCs w:val="0"/>
          <w:sz w:val="30"/>
          <w:szCs w:val="30"/>
          <w:highlight w:val="none"/>
        </w:rPr>
      </w:pPr>
      <w:bookmarkStart w:id="2" w:name="_Toc31383"/>
      <w:r>
        <w:rPr>
          <w:rFonts w:ascii="黑体" w:eastAsia="黑体" w:hAnsi="黑体" w:hint="eastAsia"/>
          <w:sz w:val="30"/>
          <w:szCs w:val="30"/>
          <w:lang w:val="en-US" w:eastAsia="zh-CN"/>
        </w:rPr>
        <w:t xml:space="preserve">二、机构设置</w:t>
      </w:r>
      <w:bookmarkEnd w:id="2"/>
    </w:p>
    <w:p>
      <w:pPr>
        <w:divId w:val="0"/>
        <w:spacing w:line="600" w:lineRule="exact"/>
        <w:ind w:firstLine="600"/>
        <w:rPr>
          <w:rFonts w:eastAsia="方正仿宋_GB2312" w:hint="eastAsia"/>
          <w:sz w:val="30"/>
          <w:szCs w:val="30"/>
          <w:highlight w:val="none"/>
          <w:lang w:val="en-US" w:eastAsia="zh-CN"/>
        </w:rPr>
      </w:pPr>
      <w:r>
        <w:rPr>
          <w:rFonts w:eastAsia="仿宋_GB2312" w:hint="eastAsia"/>
          <w:sz w:val="30"/>
          <w:szCs w:val="30"/>
          <w:highlight w:val="none"/>
          <w:lang w:val="en-US" w:eastAsia="zh-CN"/>
        </w:rPr>
        <w:t xml:space="preserve">纳</w:t>
      </w:r>
      <w:r>
        <w:rPr>
          <w:rFonts w:eastAsia="仿宋_GB2312" w:hint="eastAsia"/>
          <w:sz w:val="30"/>
          <w:szCs w:val="30"/>
          <w:highlight w:val="none"/>
          <w:lang w:val="en-US" w:eastAsia="zh-CN"/>
        </w:rPr>
        <w:t xml:space="preserve">入</w:t>
      </w:r>
      <w:r>
        <w:rPr>
          <w:rFonts w:eastAsia="仿宋_GB2312" w:hint="eastAsia"/>
          <w:sz w:val="30"/>
          <w:szCs w:val="30"/>
          <w:highlight w:val="none"/>
          <w:lang w:val="en-US" w:eastAsia="zh-CN"/>
        </w:rPr>
        <w:t xml:space="preserve">华北地质勘查局第四地质大队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年度单位决算编制范围的单位包括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1、华北地质勘查局第四地质大队（内设10个职能科室）。</w:t>
      </w:r>
    </w:p>
    <w:p>
      <w:pPr>
        <w:divId w:val="0"/>
        <w:spacing w:line="600" w:lineRule="exact"/>
        <w:rPr>
          <w:rFonts w:eastAsia="方正楷体_GB2312" w:hint="eastAsia"/>
          <w:b/>
          <w:sz w:val="30"/>
          <w:szCs w:val="30"/>
          <w:highlight w:val="none"/>
        </w:rPr>
      </w:pPr>
      <w:r>
        <w:rPr>
          <w:rFonts w:eastAsia="方正楷体_GB2312"/>
          <w:b/>
          <w:sz w:val="30"/>
          <w:szCs w:val="30"/>
          <w:highlight w:val="none"/>
        </w:rPr>
        <w:br w:type="page"/>
      </w: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p>
    <w:p>
      <w:pPr>
        <w:pStyle w:val="标题1"/>
        <w:wordWrap w:val="0"/>
        <w:spacing w:before="0" w:after="0" w:line="600" w:lineRule="exact"/>
        <w:jc w:val="center"/>
        <w:rPr>
          <w:rFonts w:ascii="方正小标宋简体" w:eastAsia="方正小标宋简体" w:hAnsi="方正小标宋简体" w:cs="方正小标宋简体" w:hint="eastAsia"/>
          <w:b w:val="0"/>
          <w:bCs w:val="0"/>
          <w:lang w:val="en-US" w:eastAsia="zh-CN"/>
        </w:rPr>
      </w:pPr>
      <w:bookmarkStart w:id="3" w:name="_Toc24540"/>
      <w:r>
        <w:rPr>
          <w:rFonts w:ascii="方正小标宋简体" w:eastAsia="方正小标宋简体" w:hAnsi="方正小标宋简体" w:cs="方正小标宋简体" w:hint="eastAsia"/>
          <w:b w:val="0"/>
          <w:bCs w:val="0"/>
          <w:lang w:val="en-US" w:eastAsia="zh-CN"/>
        </w:rPr>
        <w:t xml:space="preserve">第二部分  2025年度单位决算表</w:t>
      </w:r>
      <w:bookmarkEnd w:id="3"/>
    </w:p>
    <w:p>
      <w:pPr>
        <w:pStyle w:val="标题1"/>
        <w:wordWrap w:val="0"/>
        <w:spacing w:before="0" w:after="0" w:line="600" w:lineRule="exact"/>
        <w:jc w:val="left"/>
        <w:rPr>
          <w:rFonts w:ascii="黑体" w:eastAsia="黑体" w:hAnsi="黑体" w:hint="eastAsia"/>
          <w:sz w:val="30"/>
          <w:szCs w:val="30"/>
          <w:lang w:val="en-US" w:eastAsia="zh-CN"/>
        </w:rPr>
      </w:pPr>
      <w:r>
        <w:rPr>
          <w:rFonts w:ascii="方正小标宋简体" w:eastAsia="方正小标宋简体" w:hAnsi="方正小标宋简体" w:cs="方正小标宋简体" w:hint="eastAsia"/>
          <w:b w:val="0"/>
          <w:bCs w:val="0"/>
          <w:lang w:val="en-US" w:eastAsia="zh-CN"/>
        </w:rPr>
        <w:br w:type="page"/>
      </w:r>
      <w:bookmarkStart w:id="4" w:name="_Toc23540"/>
      <w:r>
        <w:rPr>
          <w:rFonts w:ascii="黑体" w:eastAsia="黑体" w:hAnsi="黑体" w:hint="eastAsia"/>
          <w:sz w:val="30"/>
          <w:szCs w:val="30"/>
          <w:lang w:val="en-US" w:eastAsia="zh-CN"/>
        </w:rPr>
        <w:t xml:space="preserve">一、《收入支出决算总表》</w:t>
      </w:r>
      <w:bookmarkEnd w:id="4"/>
    </w:p>
    <w:tbl>
      <w:tblPr>
        <w:tblStyle w:val="普通表格"/>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351"/>
        <w:gridCol w:w="1632"/>
        <w:gridCol w:w="3180"/>
        <w:gridCol w:w="1632"/>
      </w:tblGrid>
      <w:tr>
        <w:tblPrEx>
          <w:tblW w:w="9795"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华北地质勘查局第四地质大队</w:t>
            </w:r>
          </w:p>
        </w:tc>
        <w:tc>
          <w:tcPr>
            <w:tcW w:w="1701" w:type="dxa"/>
            <w:gridSpan w:val="2"/>
            <w:tcBorders>
              <w:top w:val="nil"/>
              <w:left w:val="nil"/>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righ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1701" w:type="dxa"/>
            <w:gridSpan w:val="2"/>
            <w:tcBorders>
              <w:top w:val="single" w:sz="4" w:space="0" w:color="000000"/>
              <w:left w:val="single" w:sz="4" w:space="0" w:color="000000"/>
              <w:bottom w:val="single" w:sz="4" w:space="0" w:color="000000"/>
              <w:right w:val="nil"/>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701" w:type="dxa"/>
            <w:gridSpan w:val="2"/>
            <w:tcBorders>
              <w:top w:val="single" w:sz="4" w:space="0" w:color="000000"/>
              <w:left w:val="nil"/>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9795" w:type="dxa"/>
          <w:jc w:val="center"/>
          <w:tblLayout w:type="fixed"/>
          <w:tblCellMar>
            <w:top w:w="0" w:type="dxa"/>
            <w:left w:w="108" w:type="dxa"/>
            <w:bottom w:w="0" w:type="dxa"/>
            <w:right w:w="108" w:type="dxa"/>
          </w:tblCellMar>
          <w:tblLook w:val="0000"/>
        </w:tblPrEx>
        <w:trPr>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一、一般公共预算财政拨款收入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tabs>
                <w:tab w:val="left" w:pos="1920"/>
              </w:tabs>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24081200.00</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二、政府性基金预算财政拨款收入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三、国有资本经营预算财政拨款收入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68"/>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四、财政专户管理资金</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五、事业收入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六、事业单位经营收入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4855000.00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七、上级补助收入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1742200.00</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八、附属单位上缴收入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九、其他收入</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1498.38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18126665.05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hAnsi="Times New Roman" w:cs="Times New Roman" w:hint="default"/>
                <w:i w:val="0"/>
                <w:iCs w:val="0"/>
                <w:color w:val="000000"/>
                <w:kern w:val="0.0"/>
                <w:sz w:val="20"/>
                <w:szCs w:val="20"/>
                <w:u w:val="none"/>
                <w:lang w:val="en-US" w:eastAsia="zh-CN"/>
              </w:rPr>
              <w:t xml:space="preserve">  </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kern w:val="0.0"/>
                <w:sz w:val="20"/>
                <w:szCs w:val="20"/>
                <w:u w:val="none"/>
                <w:lang w:val="en-US" w:eastAsia="zh-CN"/>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24082698.38</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24723865.05</w:t>
            </w: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w w:val="90"/>
                <w:kern w:val="0.0"/>
                <w:sz w:val="20"/>
                <w:szCs w:val="20"/>
                <w:u w:val="none"/>
                <w:lang w:val="en-US" w:eastAsia="zh-CN"/>
              </w:rPr>
              <w:t xml:space="preserve">十、使用非财政拨款结余</w:t>
            </w:r>
            <w:r>
              <w:rPr>
                <w:rFonts w:ascii="宋体" w:hAnsi="宋体" w:cs="宋体" w:hint="eastAsia"/>
                <w:i w:val="0"/>
                <w:iCs w:val="0"/>
                <w:color w:val="000000"/>
                <w:w w:val="90"/>
                <w:kern w:val="0.0"/>
                <w:sz w:val="20"/>
                <w:szCs w:val="20"/>
                <w:u w:val="none"/>
                <w:lang w:val="en-US" w:eastAsia="zh-CN"/>
              </w:rPr>
              <w:t xml:space="preserve">（含专用结余）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641166.67</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二十四、结余分配</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十一、年初结转和结余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二十五、年末结转和结余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其中：财政拨款结转和结余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600" w:leftChars="0" w:rightChars="0" w:firstLineChars="30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其他结转和结余</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left"/>
              <w:rPr>
                <w:rFonts w:ascii="宋体" w:eastAsia="宋体" w:hAnsi="宋体" w:cs="宋体" w:hint="eastAsia"/>
                <w:i w:val="0"/>
                <w:iCs w:val="0"/>
                <w:color w:val="000000"/>
                <w:sz w:val="20"/>
                <w:szCs w:val="20"/>
                <w:u w:val="none"/>
              </w:rPr>
            </w:pP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pacing w:line="240" w:lineRule="auto"/>
              <w:ind w:left="0" w:right="0" w:firstLine="0" w:leftChars="0" w:rightChars="0" w:firstLineChars="0"/>
              <w:jc w:val="right"/>
              <w:rPr>
                <w:rFonts w:ascii="Times New Roman" w:eastAsia="宋体" w:hAnsi="Times New Roman" w:cs="Times New Roman" w:hint="default"/>
                <w:i w:val="0"/>
                <w:iCs w:val="0"/>
                <w:color w:val="000000"/>
                <w:sz w:val="20"/>
                <w:szCs w:val="20"/>
                <w:u w:val="none"/>
              </w:rPr>
            </w:pPr>
          </w:p>
        </w:tc>
      </w:tr>
      <w:tr>
        <w:tblPrEx>
          <w:tblW w:w="9795" w:type="dxa"/>
          <w:jc w:val="center"/>
          <w:tblLayout w:type="fixed"/>
          <w:tblCellMar>
            <w:top w:w="0" w:type="dxa"/>
            <w:left w:w="108" w:type="dxa"/>
            <w:bottom w:w="0" w:type="dxa"/>
            <w:right w:w="108" w:type="dxa"/>
          </w:tblCellMar>
          <w:tblLook w:val="0000"/>
        </w:tblPrEx>
        <w:trPr>
          <w:cantSplit/>
          <w:trHeight w:hRule="exact" w:val="397"/>
          <w:jc w:val="center"/>
        </w:trPr>
        <w:tc>
          <w:tcPr>
            <w:tcW w:w="3505"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24723865.05</w:t>
            </w:r>
          </w:p>
        </w:tc>
        <w:tc>
          <w:tcPr>
            <w:tcW w:w="332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支出总计</w:t>
            </w:r>
          </w:p>
        </w:tc>
        <w:tc>
          <w:tcPr>
            <w:tcW w:w="170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pacing w:line="240" w:lineRule="auto"/>
              <w:ind w:left="0" w:right="0" w:firstLine="0" w:leftChars="0" w:rightChars="0" w:firstLineChars="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24723865.05</w:t>
            </w:r>
          </w:p>
        </w:tc>
      </w:tr>
      <w:tr>
        <w:tblPrEx>
          <w:tblW w:w="9795" w:type="dxa"/>
          <w:jc w:val="center"/>
          <w:tblLayout w:type="fixed"/>
          <w:tblCellMar>
            <w:top w:w="0" w:type="dxa"/>
            <w:left w:w="108" w:type="dxa"/>
            <w:bottom w:w="0" w:type="dxa"/>
            <w:right w:w="108" w:type="dxa"/>
          </w:tblCellMar>
          <w:tblLook w:val="0000"/>
        </w:tblPrEx>
        <w:trPr>
          <w:trHeight w:val="315"/>
          <w:jc w:val="center"/>
        </w:trPr>
        <w:tc>
          <w:tcPr>
            <w:tcW w:w="1701" w:type="dxa"/>
            <w:gridSpan w:val="4"/>
            <w:tcBorders>
              <w:top w:val="nil"/>
              <w:left w:val="nil"/>
              <w:bottom w:val="nil"/>
              <w:right w:val="nil"/>
            </w:tcBorders>
            <w:vAlign w:val="center"/>
          </w:tcPr>
          <w:p>
            <w:pPr>
              <w:divId w:val="0"/>
              <w:keepNext w:val="0"/>
              <w:keepLines w:val="0"/>
              <w:widowControl/>
              <w:suppressLineNumbers w:val="0"/>
              <w:spacing w:line="240" w:lineRule="auto"/>
              <w:ind w:left="0" w:right="0" w:firstLine="0" w:leftChars="0" w:righ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注：本表反映本年度的总收支和年末结转结余情况。财政专户管理资金是指教育收费；事业收入不含教育收费。</w:t>
            </w:r>
          </w:p>
        </w:tc>
      </w:tr>
    </w:tbl>
    <w:p>
      <w:pPr>
        <w:rPr>
          <w:rFonts w:hint="eastAsia"/>
          <w:lang w:val="en-US" w:eastAsia="zh-CN"/>
        </w:rPr>
        <w:sectPr>
          <w:footerReference w:type="default" r:id="rId5"/>
          <w:type w:val="nextPage"/>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start="1"/>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5" w:name="_Toc8357"/>
      <w:r>
        <w:rPr>
          <w:rFonts w:ascii="黑体" w:eastAsia="黑体" w:hAnsi="黑体" w:hint="eastAsia"/>
          <w:sz w:val="30"/>
          <w:szCs w:val="30"/>
          <w:lang w:val="en-US" w:eastAsia="zh-CN"/>
        </w:rPr>
        <w:t xml:space="preserve">二、《收入决算表（按功能分类列示）》</w:t>
      </w:r>
      <w:bookmarkEnd w:id="5"/>
    </w:p>
    <w:tbl>
      <w:tblPr>
        <w:tblStyle w:val="普通表格"/>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23"/>
        <w:gridCol w:w="2184"/>
        <w:gridCol w:w="1824"/>
        <w:gridCol w:w="1737"/>
        <w:gridCol w:w="1503"/>
        <w:gridCol w:w="1680"/>
        <w:gridCol w:w="1656"/>
        <w:gridCol w:w="1572"/>
        <w:gridCol w:w="1524"/>
        <w:gridCol w:w="1587"/>
      </w:tblGrid>
      <w:tr>
        <w:tblPrEx>
          <w:tblW w:w="16290"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951" w:type="dxa"/>
            <w:gridSpan w:val="6"/>
            <w:tcBorders>
              <w:top w:val="nil"/>
              <w:left w:val="nil"/>
              <w:bottom w:val="single" w:sz="4" w:space="0" w:color="auto"/>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4"/>
                <w:szCs w:val="24"/>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华北地质勘查局第四地质大队</w:t>
            </w:r>
          </w:p>
        </w:tc>
        <w:tc>
          <w:tcPr>
            <w:tcW w:w="1656"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1572" w:type="dxa"/>
            <w:tcBorders>
              <w:top w:val="nil"/>
              <w:left w:val="nil"/>
              <w:bottom w:val="single" w:sz="4" w:space="0" w:color="auto"/>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4"/>
                <w:szCs w:val="24"/>
                <w:u w:val="none"/>
              </w:rPr>
            </w:pPr>
          </w:p>
        </w:tc>
        <w:tc>
          <w:tcPr>
            <w:tcW w:w="3111" w:type="dxa"/>
            <w:gridSpan w:val="2"/>
            <w:tcBorders>
              <w:top w:val="nil"/>
              <w:left w:val="nil"/>
              <w:bottom w:val="single" w:sz="4" w:space="0" w:color="auto"/>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auto"/>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8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本年收入合计</w:t>
            </w:r>
          </w:p>
        </w:tc>
        <w:tc>
          <w:tcPr>
            <w:tcW w:w="1737" w:type="dxa"/>
            <w:vMerge w:val="restart"/>
            <w:tcBorders>
              <w:top w:val="single" w:sz="4" w:space="0" w:color="auto"/>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财政拨款收入</w:t>
            </w:r>
          </w:p>
        </w:tc>
        <w:tc>
          <w:tcPr>
            <w:tcW w:w="1503"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上级补助收入</w:t>
            </w:r>
          </w:p>
        </w:tc>
        <w:tc>
          <w:tcPr>
            <w:tcW w:w="3336" w:type="dxa"/>
            <w:gridSpan w:val="2"/>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事业收入</w:t>
            </w:r>
          </w:p>
        </w:tc>
        <w:tc>
          <w:tcPr>
            <w:tcW w:w="1572"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经营收入</w:t>
            </w:r>
          </w:p>
        </w:tc>
        <w:tc>
          <w:tcPr>
            <w:tcW w:w="1524" w:type="dxa"/>
            <w:vMerge w:val="restart"/>
            <w:tcBorders>
              <w:top w:val="single" w:sz="4" w:space="0" w:color="auto"/>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附属单位上缴收入</w:t>
            </w:r>
          </w:p>
        </w:tc>
        <w:tc>
          <w:tcPr>
            <w:tcW w:w="1587" w:type="dxa"/>
            <w:vMerge w:val="restart"/>
            <w:tcBorders>
              <w:top w:val="single" w:sz="4" w:space="0" w:color="auto"/>
              <w:left w:val="single" w:sz="4" w:space="0" w:color="000000"/>
              <w:bottom w:val="single" w:sz="4" w:space="0" w:color="000000"/>
              <w:right w:val="single" w:sz="4" w:space="0" w:color="auto"/>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其他收入</w:t>
            </w: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val="restart"/>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184"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165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其中：教育收费</w:t>
            </w: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1023" w:type="dxa"/>
            <w:vMerge/>
            <w:tcBorders>
              <w:top w:val="single" w:sz="4" w:space="0" w:color="000000"/>
              <w:left w:val="single" w:sz="4" w:space="0" w:color="auto"/>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18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8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737" w:type="dxa"/>
            <w:vMerge/>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snapToGrid w:val="0"/>
              <w:jc w:val="center"/>
              <w:rPr>
                <w:rFonts w:ascii="宋体" w:eastAsia="宋体" w:hAnsi="宋体" w:cs="宋体" w:hint="eastAsia"/>
                <w:i w:val="0"/>
                <w:iCs w:val="0"/>
                <w:color w:val="000000"/>
                <w:sz w:val="20"/>
                <w:szCs w:val="20"/>
                <w:u w:val="none"/>
              </w:rPr>
            </w:pPr>
          </w:p>
        </w:tc>
        <w:tc>
          <w:tcPr>
            <w:tcW w:w="1503"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65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7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24"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587" w:type="dxa"/>
            <w:vMerge/>
            <w:tcBorders>
              <w:top w:val="single" w:sz="4" w:space="0" w:color="000000"/>
              <w:left w:val="single" w:sz="4" w:space="0" w:color="000000"/>
              <w:bottom w:val="single" w:sz="4" w:space="0" w:color="000000"/>
              <w:right w:val="single" w:sz="4" w:space="0" w:color="auto"/>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hRule="exact" w:val="397"/>
          <w:tblHeader/>
          <w:jc w:val="center"/>
        </w:trPr>
        <w:tc>
          <w:tcPr>
            <w:tcW w:w="3207" w:type="dxa"/>
            <w:gridSpan w:val="2"/>
            <w:tcBorders>
              <w:top w:val="single" w:sz="4" w:space="0" w:color="000000"/>
              <w:left w:val="single" w:sz="4" w:space="0" w:color="auto"/>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8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24082698.38</w:t>
            </w:r>
          </w:p>
        </w:tc>
        <w:tc>
          <w:tcPr>
            <w:tcW w:w="173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24081200.00</w:t>
            </w:r>
          </w:p>
        </w:tc>
        <w:tc>
          <w:tcPr>
            <w:tcW w:w="150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000000"/>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1498.38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社会保障和就业支出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4855000.00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4855000.00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行政事业单位养老支出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4855000.00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4855000.00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2080505</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3237000.00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3237000.00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2080506</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1618000.00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1618000.00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卫生健康支出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1742200.00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1742200.00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行政事业单位医疗</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1742200.00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1742200.00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2101102</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1213200.00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1213200.00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2101199</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529000.00</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529000.00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自然资源海洋气象等支出</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17485498.38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17484000.00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1498.38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r>
              <w:rPr>
                <w:rFonts w:ascii="宋体" w:eastAsia="宋体" w:hAnsi="宋体" w:cs="宋体" w:hint="default"/>
                <w:i w:val="0"/>
                <w:iCs w:val="0"/>
                <w:color w:val="000000"/>
                <w:spacing w:val="0"/>
                <w:w w:val="100"/>
                <w:sz w:val="20"/>
                <w:szCs w:val="20"/>
                <w:u w:val="none"/>
                <w:lang w:val="en-US" w:eastAsia="zh-CN"/>
              </w:rPr>
              <w:t xml:space="preserve">自然资源事务</w:t>
            </w: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17485498.38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17484000.00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1498.38</w:t>
            </w:r>
          </w:p>
        </w:tc>
      </w:tr>
      <w:tr>
        <w:tblPrEx>
          <w:tblW w:w="16290" w:type="dxa"/>
          <w:jc w:val="center"/>
          <w:tblLayout w:type="fixed"/>
          <w:tblCellMar>
            <w:top w:w="0" w:type="dxa"/>
            <w:left w:w="108" w:type="dxa"/>
            <w:bottom w:w="0" w:type="dxa"/>
            <w:right w:w="108" w:type="dxa"/>
          </w:tblCellMar>
          <w:tblLook w:val="0000"/>
        </w:tblPrEx>
        <w:trPr>
          <w:trHeight w:val="397"/>
          <w:tblHeader/>
          <w:jc w:val="center"/>
        </w:trPr>
        <w:tc>
          <w:tcPr>
            <w:tcW w:w="1023" w:type="dxa"/>
            <w:tcBorders>
              <w:top w:val="single" w:sz="4" w:space="0" w:color="000000"/>
              <w:left w:val="single" w:sz="4" w:space="0" w:color="auto"/>
              <w:bottom w:val="single" w:sz="4" w:space="0" w:color="auto"/>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z w:val="20"/>
                <w:szCs w:val="20"/>
                <w:u w:val="none"/>
                <w:lang w:val="en-US" w:eastAsia="zh-CN"/>
              </w:rPr>
            </w:pPr>
            <w:r>
              <w:rPr>
                <w:rFonts w:ascii="宋体" w:eastAsia="宋体" w:hAnsi="宋体" w:cs="宋体" w:hint="default"/>
                <w:i w:val="0"/>
                <w:iCs w:val="0"/>
                <w:color w:val="000000"/>
                <w:sz w:val="20"/>
                <w:szCs w:val="20"/>
                <w:u w:val="none"/>
                <w:lang w:val="en-US" w:eastAsia="zh-CN"/>
              </w:rPr>
              <w:t xml:space="preserve">2200150</w:t>
            </w:r>
          </w:p>
        </w:tc>
        <w:tc>
          <w:tcPr>
            <w:tcW w:w="2184" w:type="dxa"/>
            <w:tcBorders>
              <w:top w:val="single" w:sz="4" w:space="0" w:color="000000"/>
              <w:left w:val="single" w:sz="4" w:space="0" w:color="000000"/>
              <w:bottom w:val="single" w:sz="4" w:space="0" w:color="auto"/>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18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17485498.38</w:t>
            </w:r>
          </w:p>
        </w:tc>
        <w:tc>
          <w:tcPr>
            <w:tcW w:w="1737"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rPr>
            </w:pPr>
            <w:r>
              <w:rPr>
                <w:rFonts w:ascii="Times New Roman" w:eastAsia="宋体" w:hAnsi="Times New Roman" w:cs="Times New Roman" w:hint="default"/>
                <w:i w:val="0"/>
                <w:iCs w:val="0"/>
                <w:color w:val="000000"/>
                <w:sz w:val="20"/>
                <w:szCs w:val="20"/>
                <w:u w:val="none"/>
                <w:lang w:val="en-US" w:eastAsia="zh-CN"/>
              </w:rPr>
              <w:t xml:space="preserve">17484000.00</w:t>
            </w:r>
          </w:p>
        </w:tc>
        <w:tc>
          <w:tcPr>
            <w:tcW w:w="1503"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80"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656"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72"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24" w:type="dxa"/>
            <w:tcBorders>
              <w:top w:val="single" w:sz="4" w:space="0" w:color="000000"/>
              <w:left w:val="single" w:sz="4" w:space="0" w:color="000000"/>
              <w:bottom w:val="single" w:sz="4" w:space="0" w:color="auto"/>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587" w:type="dxa"/>
            <w:tcBorders>
              <w:top w:val="single" w:sz="4" w:space="0" w:color="000000"/>
              <w:left w:val="single" w:sz="4" w:space="0" w:color="000000"/>
              <w:bottom w:val="single" w:sz="4" w:space="0" w:color="auto"/>
              <w:right w:val="single" w:sz="4" w:space="0" w:color="auto"/>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1498.38</w:t>
            </w:r>
          </w:p>
        </w:tc>
      </w:tr>
      <w:tr>
        <w:tblPrEx>
          <w:tblW w:w="16290" w:type="dxa"/>
          <w:jc w:val="center"/>
          <w:tblLayout w:type="fixed"/>
          <w:tblCellMar>
            <w:top w:w="0" w:type="dxa"/>
            <w:left w:w="108" w:type="dxa"/>
            <w:bottom w:w="0" w:type="dxa"/>
            <w:right w:w="108" w:type="dxa"/>
          </w:tblCellMar>
          <w:tblLook w:val="0000"/>
        </w:tblPrEx>
        <w:trPr>
          <w:trHeight w:hRule="auto" w:val="0"/>
          <w:jc w:val="center"/>
        </w:trPr>
        <w:tc>
          <w:tcPr>
            <w:tcW w:w="16290" w:type="dxa"/>
            <w:gridSpan w:val="10"/>
            <w:tcBorders>
              <w:top w:val="single" w:sz="4" w:space="0" w:color="auto"/>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注：本表反映本年度取得的各项收入情况。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6" w:name="_Toc12692"/>
      <w:r>
        <w:rPr>
          <w:rFonts w:ascii="黑体" w:eastAsia="黑体" w:hAnsi="黑体" w:hint="eastAsia"/>
          <w:b/>
          <w:bCs/>
          <w:sz w:val="30"/>
          <w:szCs w:val="30"/>
          <w:lang w:val="en-US" w:eastAsia="zh-CN"/>
        </w:rPr>
        <w:t xml:space="preserve">三、《收入决算表（按单位列示）》</w:t>
      </w:r>
      <w:bookmarkEnd w:id="6"/>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33"/>
        <w:gridCol w:w="1405"/>
        <w:gridCol w:w="1344"/>
        <w:gridCol w:w="1153"/>
        <w:gridCol w:w="1285"/>
        <w:gridCol w:w="1285"/>
        <w:gridCol w:w="1285"/>
        <w:gridCol w:w="1285"/>
        <w:gridCol w:w="1285"/>
        <w:gridCol w:w="1285"/>
        <w:gridCol w:w="1285"/>
        <w:gridCol w:w="1329"/>
        <w:gridCol w:w="132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300"/>
          <w:jc w:val="center"/>
        </w:trPr>
        <w:tc>
          <w:tcPr>
            <w:tcW w:w="9775" w:type="dxa"/>
            <w:gridSpan w:val="8"/>
            <w:tcBorders>
              <w:top w:val="nil"/>
              <w:left w:val="nil"/>
              <w:bottom w:val="single" w:sz="4" w:space="0" w:color="000000"/>
              <w:right w:val="nil"/>
            </w:tcBorders>
            <w:noWrap w:val="1"/>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华北地质勘查局第四地质大队</w:t>
            </w: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1285" w:type="dxa"/>
            <w:tcBorders>
              <w:top w:val="nil"/>
              <w:left w:val="nil"/>
              <w:bottom w:val="single" w:sz="4" w:space="0" w:color="000000"/>
              <w:right w:val="nil"/>
            </w:tcBorders>
            <w:noWrap w:val="1"/>
            <w:vAlign w:val="center"/>
          </w:tcPr>
          <w:p>
            <w:pPr>
              <w:divId w:val="0"/>
              <w:jc w:val="center"/>
              <w:rPr>
                <w:rFonts w:ascii="宋体" w:eastAsia="宋体" w:hAnsi="宋体" w:cs="宋体" w:hint="eastAsia"/>
                <w:i w:val="0"/>
                <w:iCs w:val="0"/>
                <w:color w:val="000000"/>
                <w:sz w:val="16"/>
                <w:szCs w:val="16"/>
                <w:u w:val="none"/>
              </w:rPr>
            </w:pPr>
          </w:p>
        </w:tc>
        <w:tc>
          <w:tcPr>
            <w:tcW w:w="2658" w:type="dxa"/>
            <w:gridSpan w:val="2"/>
            <w:tcBorders>
              <w:top w:val="nil"/>
              <w:left w:val="nil"/>
              <w:bottom w:val="single" w:sz="4" w:space="0" w:color="000000"/>
              <w:right w:val="nil"/>
            </w:tcBorders>
            <w:noWrap w:val="1"/>
            <w:vAlign w:val="center"/>
          </w:tcPr>
          <w:p>
            <w:pPr>
              <w:divId w:val="0"/>
              <w:keepNext w:val="0"/>
              <w:keepLines w:val="0"/>
              <w:widowControl/>
              <w:suppressLineNumbers w:val="0"/>
              <w:jc w:val="righ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40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344"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2806" w:type="dxa"/>
            <w:gridSpan w:val="10"/>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本年收入</w:t>
            </w:r>
          </w:p>
        </w:tc>
      </w:tr>
      <w:tr>
        <w:tblPrEx>
          <w:tblW w:w="16288" w:type="dxa"/>
          <w:jc w:val="center"/>
          <w:tblLayout w:type="fixed"/>
          <w:tblCellMar>
            <w:top w:w="0" w:type="dxa"/>
            <w:left w:w="108" w:type="dxa"/>
            <w:bottom w:w="0" w:type="dxa"/>
            <w:right w:w="108" w:type="dxa"/>
          </w:tblCellMar>
          <w:tblLook w:val="0000"/>
        </w:tblPrEx>
        <w:trPr>
          <w:trHeight w:val="30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事业单位经营收入</w:t>
            </w:r>
          </w:p>
        </w:tc>
        <w:tc>
          <w:tcPr>
            <w:tcW w:w="128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上级补助收入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附属单位上缴收入</w:t>
            </w:r>
          </w:p>
        </w:tc>
        <w:tc>
          <w:tcPr>
            <w:tcW w:w="132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其他收入</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73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40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44"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153"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285"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c>
          <w:tcPr>
            <w:tcW w:w="1329" w:type="dxa"/>
            <w:vMerge/>
            <w:tcBorders>
              <w:top w:val="single" w:sz="4" w:space="0" w:color="000000"/>
              <w:left w:val="single" w:sz="4" w:space="0" w:color="000000"/>
              <w:bottom w:val="single" w:sz="4" w:space="0" w:color="000000"/>
              <w:right w:val="single" w:sz="4" w:space="0" w:color="000000"/>
            </w:tcBorders>
            <w:vAlign w:val="center"/>
          </w:tcPr>
          <w:p>
            <w:pPr>
              <w:divId w:val="0"/>
              <w:jc w:val="center"/>
              <w:rPr>
                <w:rFonts w:ascii="宋体" w:eastAsia="宋体" w:hAnsi="宋体" w:cs="宋体" w:hint="eastAsia"/>
                <w:i w:val="0"/>
                <w:iCs w:val="0"/>
                <w:color w:val="000000"/>
                <w:sz w:val="16"/>
                <w:szCs w:val="16"/>
                <w:u w:val="none"/>
              </w:rPr>
            </w:pPr>
          </w:p>
        </w:tc>
      </w:tr>
      <w:tr>
        <w:tblPrEx>
          <w:tblW w:w="16288" w:type="dxa"/>
          <w:jc w:val="center"/>
          <w:tblLayout w:type="fixed"/>
          <w:tblCellMar>
            <w:top w:w="0" w:type="dxa"/>
            <w:left w:w="108" w:type="dxa"/>
            <w:bottom w:w="0" w:type="dxa"/>
            <w:right w:w="108" w:type="dxa"/>
          </w:tblCellMar>
          <w:tblLook w:val="0000"/>
        </w:tblPrEx>
        <w:trPr>
          <w:trHeight w:val="782"/>
          <w:jc w:val="center"/>
        </w:trPr>
        <w:tc>
          <w:tcPr>
            <w:tcW w:w="2138"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24723865.05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24082698.38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24081200.00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1498.38</w:t>
            </w:r>
          </w:p>
        </w:tc>
      </w:tr>
      <w:tr>
        <w:tblPrEx>
          <w:tblW w:w="16288" w:type="dxa"/>
          <w:jc w:val="center"/>
          <w:tblLayout w:type="fixed"/>
          <w:tblCellMar>
            <w:top w:w="0" w:type="dxa"/>
            <w:left w:w="108" w:type="dxa"/>
            <w:bottom w:w="0" w:type="dxa"/>
            <w:right w:w="108" w:type="dxa"/>
          </w:tblCellMar>
          <w:tblLook w:val="0000"/>
        </w:tblPrEx>
        <w:trPr>
          <w:trHeight w:val="283"/>
          <w:jc w:val="center"/>
        </w:trPr>
        <w:tc>
          <w:tcPr>
            <w:tcW w:w="73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615207</w:t>
            </w:r>
          </w:p>
        </w:tc>
        <w:tc>
          <w:tcPr>
            <w:tcW w:w="140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华北地质勘查局第四地质大队</w:t>
            </w:r>
          </w:p>
        </w:tc>
        <w:tc>
          <w:tcPr>
            <w:tcW w:w="134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24723865.05</w:t>
            </w:r>
          </w:p>
        </w:tc>
        <w:tc>
          <w:tcPr>
            <w:tcW w:w="11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24082698.38</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24081200.00</w:t>
            </w: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285"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p>
        </w:tc>
        <w:tc>
          <w:tcPr>
            <w:tcW w:w="132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1498.38</w:t>
            </w:r>
          </w:p>
        </w:tc>
      </w:tr>
      <w:tr>
        <w:tblPrEx>
          <w:tblW w:w="16288" w:type="dxa"/>
          <w:jc w:val="center"/>
          <w:tblLayout w:type="fixed"/>
          <w:tblCellMar>
            <w:top w:w="0" w:type="dxa"/>
            <w:left w:w="108" w:type="dxa"/>
            <w:bottom w:w="0" w:type="dxa"/>
            <w:right w:w="108" w:type="dxa"/>
          </w:tblCellMar>
          <w:tblLook w:val="0000"/>
        </w:tblPrEx>
        <w:trPr>
          <w:trHeight w:val="270"/>
          <w:jc w:val="center"/>
        </w:trPr>
        <w:tc>
          <w:tcPr>
            <w:tcW w:w="16288" w:type="dxa"/>
            <w:gridSpan w:val="13"/>
            <w:tcBorders>
              <w:top w:val="single" w:sz="4" w:space="0" w:color="000000"/>
              <w:left w:val="nil"/>
              <w:bottom w:val="nil"/>
              <w:right w:val="nil"/>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pStyle w:val="标题2"/>
        <w:wordWrap w:val="0"/>
        <w:spacing w:before="0" w:after="0" w:line="240" w:lineRule="auto"/>
        <w:ind w:firstLine="0" w:firstLineChars="0"/>
        <w:rPr>
          <w:rFonts w:ascii="黑体" w:eastAsia="黑体" w:hAnsi="黑体" w:hint="eastAsia"/>
          <w:sz w:val="30"/>
          <w:szCs w:val="30"/>
          <w:lang w:val="en-US" w:eastAsia="zh-CN"/>
        </w:rPr>
      </w:pPr>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697"/>
        <w:gridCol w:w="1388"/>
        <w:gridCol w:w="1482"/>
        <w:gridCol w:w="1836"/>
        <w:gridCol w:w="1802"/>
        <w:gridCol w:w="1798"/>
        <w:gridCol w:w="1884"/>
        <w:gridCol w:w="1692"/>
        <w:gridCol w:w="1860"/>
        <w:gridCol w:w="1849"/>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003" w:type="dxa"/>
            <w:gridSpan w:val="6"/>
            <w:tcBorders>
              <w:top w:val="nil"/>
              <w:left w:val="nil"/>
              <w:bottom w:val="single" w:sz="4" w:space="0" w:color="000000"/>
              <w:right w:val="nil"/>
            </w:tcBorders>
            <w:noWrap w:val="1"/>
            <w:vAlign w:val="center"/>
          </w:tcPr>
          <w:p>
            <w:pPr>
              <w:divId w:val="0"/>
              <w:snapToGrid w:val="0"/>
              <w:rPr>
                <w:rFonts w:ascii="宋体" w:eastAsia="宋体" w:hAnsi="宋体" w:cs="宋体" w:hint="eastAsia"/>
                <w:i w:val="0"/>
                <w:iCs w:val="0"/>
                <w:color w:val="000000"/>
                <w:sz w:val="16"/>
                <w:szCs w:val="16"/>
                <w:u w:val="none"/>
              </w:rPr>
            </w:pPr>
            <w:r>
              <w:rPr>
                <w:rFonts w:ascii="宋体" w:hAnsi="宋体" w:cs="宋体" w:hint="eastAsia"/>
                <w:i w:val="0"/>
                <w:iCs w:val="0"/>
                <w:color w:val="000000"/>
                <w:kern w:val="0.0"/>
                <w:sz w:val="16"/>
                <w:szCs w:val="16"/>
                <w:u w:val="none"/>
                <w:lang w:val="en-US" w:eastAsia="zh-CN"/>
              </w:rPr>
              <w:t xml:space="preserve">单位</w:t>
            </w:r>
            <w:r>
              <w:rPr>
                <w:rFonts w:ascii="宋体" w:eastAsia="宋体" w:hAnsi="宋体" w:cs="宋体" w:hint="eastAsia"/>
                <w:i w:val="0"/>
                <w:iCs w:val="0"/>
                <w:color w:val="000000"/>
                <w:kern w:val="0.0"/>
                <w:sz w:val="16"/>
                <w:szCs w:val="16"/>
                <w:u w:val="none"/>
                <w:lang w:val="en-US" w:eastAsia="zh-CN"/>
              </w:rPr>
              <w:t xml:space="preserve">：</w:t>
            </w:r>
            <w:r>
              <w:rPr>
                <w:rFonts w:ascii="宋体" w:eastAsia="宋体" w:hAnsi="宋体" w:cs="宋体" w:hint="eastAsia"/>
                <w:i w:val="0"/>
                <w:iCs w:val="0"/>
                <w:color w:val="000000"/>
                <w:kern w:val="0.0"/>
                <w:sz w:val="16"/>
                <w:szCs w:val="16"/>
                <w:u w:val="none"/>
                <w:lang w:val="en-US" w:eastAsia="zh-CN"/>
              </w:rPr>
              <w:t xml:space="preserve">华北地质勘查局第四地质大队</w:t>
            </w:r>
          </w:p>
        </w:tc>
        <w:tc>
          <w:tcPr>
            <w:tcW w:w="3576"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p>
        </w:tc>
        <w:tc>
          <w:tcPr>
            <w:tcW w:w="3709" w:type="dxa"/>
            <w:gridSpan w:val="2"/>
            <w:tcBorders>
              <w:top w:val="nil"/>
              <w:left w:val="nil"/>
              <w:bottom w:val="single" w:sz="4" w:space="0" w:color="000000"/>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部门（单位）代码</w:t>
            </w:r>
          </w:p>
        </w:tc>
        <w:tc>
          <w:tcPr>
            <w:tcW w:w="138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部门（单位）名称</w:t>
            </w:r>
          </w:p>
        </w:tc>
        <w:tc>
          <w:tcPr>
            <w:tcW w:w="14203" w:type="dxa"/>
            <w:gridSpan w:val="8"/>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上年结转和结余</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7320" w:type="dxa"/>
            <w:gridSpan w:val="4"/>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财政拨款结转结余</w:t>
            </w:r>
          </w:p>
        </w:tc>
        <w:tc>
          <w:tcPr>
            <w:tcW w:w="5401"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非财政拨款结转结余</w:t>
            </w:r>
          </w:p>
        </w:tc>
      </w:tr>
      <w:tr>
        <w:tblPrEx>
          <w:tblW w:w="16288" w:type="dxa"/>
          <w:jc w:val="center"/>
          <w:tblLayout w:type="fixed"/>
          <w:tblCellMar>
            <w:top w:w="0" w:type="dxa"/>
            <w:left w:w="108" w:type="dxa"/>
            <w:bottom w:w="0" w:type="dxa"/>
            <w:right w:w="108" w:type="dxa"/>
          </w:tblCellMar>
          <w:tblLook w:val="0000"/>
        </w:tblPrEx>
        <w:trPr>
          <w:cantSplit/>
          <w:trHeight w:hRule="auto" w:val="0"/>
          <w:jc w:val="center"/>
        </w:trPr>
        <w:tc>
          <w:tcPr>
            <w:tcW w:w="697"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38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482"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16"/>
                <w:szCs w:val="16"/>
                <w:u w:val="none"/>
              </w:rPr>
            </w:pP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一般公共预算</w:t>
            </w: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政府性基金预算</w:t>
            </w: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国有资本经营预算</w:t>
            </w: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小计</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财政专户管理资金</w:t>
            </w: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085"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合计</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641166.67</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641166.67</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kern w:val="0.0"/>
                <w:sz w:val="13"/>
                <w:szCs w:val="13"/>
                <w:u w:val="none"/>
                <w:lang w:val="en-US" w:eastAsia="zh-CN"/>
              </w:rPr>
              <w:t xml:space="preserve">641166.67</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697"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615207</w:t>
            </w:r>
          </w:p>
        </w:tc>
        <w:tc>
          <w:tcPr>
            <w:tcW w:w="138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left"/>
              <w:textAlignment w:val="center"/>
              <w:rPr>
                <w:rFonts w:ascii="宋体" w:eastAsia="宋体" w:hAnsi="宋体" w:cs="宋体" w:hint="eastAsia"/>
                <w:i w:val="0"/>
                <w:iCs w:val="0"/>
                <w:color w:val="000000"/>
                <w:kern w:val="0.0"/>
                <w:sz w:val="16"/>
                <w:szCs w:val="16"/>
                <w:u w:val="none"/>
                <w:lang w:val="en-US" w:eastAsia="zh-CN"/>
              </w:rPr>
            </w:pPr>
            <w:r>
              <w:rPr>
                <w:rFonts w:ascii="宋体" w:eastAsia="宋体" w:hAnsi="宋体" w:cs="宋体" w:hint="eastAsia"/>
                <w:i w:val="0"/>
                <w:iCs w:val="0"/>
                <w:color w:val="000000"/>
                <w:kern w:val="0.0"/>
                <w:sz w:val="16"/>
                <w:szCs w:val="16"/>
                <w:u w:val="none"/>
                <w:lang w:val="en-US" w:eastAsia="zh-CN"/>
              </w:rPr>
              <w:t xml:space="preserve">华北地质勘查局第四地质大队</w:t>
            </w:r>
          </w:p>
        </w:tc>
        <w:tc>
          <w:tcPr>
            <w:tcW w:w="148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641166.67</w:t>
            </w:r>
          </w:p>
        </w:tc>
        <w:tc>
          <w:tcPr>
            <w:tcW w:w="1836"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0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798"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84"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69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641166.67</w:t>
            </w:r>
          </w:p>
        </w:tc>
        <w:tc>
          <w:tcPr>
            <w:tcW w:w="186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p>
        </w:tc>
        <w:tc>
          <w:tcPr>
            <w:tcW w:w="184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13"/>
                <w:szCs w:val="13"/>
                <w:u w:val="none"/>
              </w:rPr>
            </w:pPr>
            <w:r>
              <w:rPr>
                <w:rFonts w:ascii="Times New Roman" w:eastAsia="宋体" w:hAnsi="Times New Roman" w:cs="Times New Roman" w:hint="default"/>
                <w:i w:val="0"/>
                <w:iCs w:val="0"/>
                <w:color w:val="000000"/>
                <w:sz w:val="13"/>
                <w:szCs w:val="13"/>
                <w:u w:val="none"/>
              </w:rPr>
              <w:t xml:space="preserve">641166.67</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10"/>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16"/>
                <w:szCs w:val="16"/>
                <w:u w:val="none"/>
              </w:rPr>
            </w:pPr>
            <w:r>
              <w:rPr>
                <w:rFonts w:ascii="宋体" w:eastAsia="宋体" w:hAnsi="宋体" w:cs="宋体" w:hint="eastAsia"/>
                <w:i w:val="0"/>
                <w:iCs w:val="0"/>
                <w:color w:val="000000"/>
                <w:kern w:val="0.0"/>
                <w:sz w:val="16"/>
                <w:szCs w:val="16"/>
                <w:u w:val="none"/>
                <w:lang w:val="en-US" w:eastAsia="zh-CN"/>
              </w:rPr>
              <w:t xml:space="preserve">注：本表反映本年度取得的各项收入情况。财政专户管理资金是指教育收费；事业收入不含教育收费。</w:t>
            </w:r>
          </w:p>
        </w:tc>
      </w:tr>
    </w:tbl>
    <w:p>
      <w:pPr>
        <w:sectPr>
          <w:footerReference w:type="default" r:id="rId6"/>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p>
    <w:p>
      <w:pPr>
        <w:pStyle w:val="标题2"/>
        <w:wordWrap w:val="0"/>
        <w:spacing w:before="0" w:after="0" w:line="800" w:lineRule="exact"/>
        <w:ind w:firstLine="600" w:firstLineChars="200"/>
        <w:rPr>
          <w:rFonts w:ascii="黑体" w:eastAsia="黑体" w:hAnsi="黑体" w:hint="eastAsia"/>
          <w:sz w:val="30"/>
          <w:szCs w:val="30"/>
          <w:lang w:val="en-US" w:eastAsia="zh-CN"/>
        </w:rPr>
      </w:pPr>
      <w:bookmarkStart w:id="7" w:name="_Toc1008"/>
      <w:r>
        <w:rPr>
          <w:rFonts w:ascii="黑体" w:eastAsia="黑体" w:hAnsi="黑体" w:hint="eastAsia"/>
          <w:sz w:val="30"/>
          <w:szCs w:val="30"/>
          <w:lang w:val="en-US" w:eastAsia="zh-CN"/>
        </w:rPr>
        <w:t xml:space="preserve">四、《支出决算表》</w:t>
      </w:r>
      <w:bookmarkEnd w:id="7"/>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962"/>
        <w:gridCol w:w="3228"/>
        <w:gridCol w:w="1980"/>
        <w:gridCol w:w="1968"/>
        <w:gridCol w:w="2016"/>
        <w:gridCol w:w="2010"/>
        <w:gridCol w:w="2062"/>
        <w:gridCol w:w="206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138" w:type="dxa"/>
            <w:gridSpan w:val="4"/>
            <w:tcBorders>
              <w:top w:val="nil"/>
              <w:left w:val="nil"/>
              <w:bottom w:val="single" w:sz="4" w:space="0" w:color="000000"/>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2"/>
                <w:szCs w:val="22"/>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华北地质勘查局第四地质大队</w:t>
            </w:r>
          </w:p>
        </w:tc>
        <w:tc>
          <w:tcPr>
            <w:tcW w:w="2016" w:type="dxa"/>
            <w:tcBorders>
              <w:top w:val="nil"/>
              <w:left w:val="nil"/>
              <w:bottom w:val="single" w:sz="4" w:space="0" w:color="000000"/>
              <w:right w:val="nil"/>
            </w:tcBorders>
            <w:shd w:val="clear" w:color="auto" w:fill="FFFFFF"/>
            <w:noWrap w:val="1"/>
            <w:vAlign w:val="center"/>
          </w:tcPr>
          <w:p>
            <w:pPr>
              <w:divId w:val="0"/>
              <w:snapToGrid w:val="0"/>
              <w:jc w:val="center"/>
              <w:rPr>
                <w:rFonts w:ascii="宋体" w:eastAsia="宋体" w:hAnsi="宋体" w:cs="宋体" w:hint="eastAsia"/>
                <w:i w:val="0"/>
                <w:iCs w:val="0"/>
                <w:color w:val="000000"/>
                <w:sz w:val="22"/>
                <w:szCs w:val="22"/>
                <w:u w:val="none"/>
              </w:rPr>
            </w:pPr>
          </w:p>
        </w:tc>
        <w:tc>
          <w:tcPr>
            <w:tcW w:w="2010"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2"/>
                <w:szCs w:val="22"/>
                <w:u w:val="none"/>
              </w:rPr>
            </w:pPr>
          </w:p>
        </w:tc>
        <w:tc>
          <w:tcPr>
            <w:tcW w:w="2062" w:type="dxa"/>
            <w:tcBorders>
              <w:top w:val="nil"/>
              <w:left w:val="nil"/>
              <w:bottom w:val="single" w:sz="4" w:space="0" w:color="000000"/>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2"/>
                <w:szCs w:val="22"/>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198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本年支出合计</w:t>
            </w:r>
          </w:p>
        </w:tc>
        <w:tc>
          <w:tcPr>
            <w:tcW w:w="196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基本支出</w:t>
            </w:r>
          </w:p>
        </w:tc>
        <w:tc>
          <w:tcPr>
            <w:tcW w:w="2016"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10"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上缴上级支出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经营支出</w:t>
            </w:r>
          </w:p>
        </w:tc>
        <w:tc>
          <w:tcPr>
            <w:tcW w:w="20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对附属单位补助支出</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962"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3228" w:type="dxa"/>
            <w:vMerge w:val="restart"/>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12"/>
          <w:jc w:val="center"/>
        </w:trPr>
        <w:tc>
          <w:tcPr>
            <w:tcW w:w="9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322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8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1968"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6"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10"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c>
          <w:tcPr>
            <w:tcW w:w="2062" w:type="dxa"/>
            <w:vMerge/>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190"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24723865.05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r>
              <w:rPr>
                <w:rFonts w:ascii="Times New Roman" w:eastAsia="宋体" w:hAnsi="Times New Roman" w:cs="Times New Roman" w:hint="default"/>
                <w:color w:val="000000"/>
                <w:kern w:val="0.0"/>
                <w:sz w:val="20"/>
                <w:szCs w:val="20"/>
                <w:lang w:val="en-US" w:eastAsia="zh-CN"/>
              </w:rPr>
              <w:t xml:space="preserve">24723865.05</w:t>
            </w: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color w:val="000000"/>
                <w:kern w:val="0.0"/>
                <w:sz w:val="20"/>
                <w:szCs w:val="20"/>
                <w:lang w:val="en-US" w:eastAsia="zh-CN"/>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社会保障和就业支出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4855000.00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4855000.00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行政事业单位养老支出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4855000.00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4855000.00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2080505</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3237000.00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3237000.00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2080506</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1618000.00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1618000.00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卫生健康支出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1742200.00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1742200.00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行政事业单位医疗</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1742200.00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1742200.00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2101102</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1213200.00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1213200.00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2101199</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529000.00</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529000.00</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自然资源海洋气象等支出</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18126665.05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18126665.05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自然资源事务</w:t>
            </w: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18126665.05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18126665.05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96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r>
              <w:rPr>
                <w:rFonts w:ascii="宋体" w:eastAsia="宋体" w:hAnsi="宋体" w:cs="宋体" w:hint="eastAsia"/>
                <w:i w:val="0"/>
                <w:iCs w:val="0"/>
                <w:color w:val="000000"/>
                <w:sz w:val="20"/>
                <w:szCs w:val="20"/>
                <w:u w:val="none"/>
                <w:lang w:val="en-US" w:eastAsia="zh-CN"/>
              </w:rPr>
              <w:t xml:space="preserve">2200150</w:t>
            </w:r>
          </w:p>
        </w:tc>
        <w:tc>
          <w:tcPr>
            <w:tcW w:w="32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lang w:val="en-US" w:eastAsia="zh-CN"/>
              </w:rPr>
            </w:pPr>
          </w:p>
        </w:tc>
        <w:tc>
          <w:tcPr>
            <w:tcW w:w="198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18126665.05</w:t>
            </w:r>
          </w:p>
        </w:tc>
        <w:tc>
          <w:tcPr>
            <w:tcW w:w="1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18126665.05</w:t>
            </w:r>
          </w:p>
        </w:tc>
        <w:tc>
          <w:tcPr>
            <w:tcW w:w="2016"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10"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2062"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single" w:sz="4" w:space="0" w:color="000000"/>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sz w:val="20"/>
                <w:szCs w:val="20"/>
                <w:u w:val="none"/>
              </w:rPr>
              <w:t xml:space="preserve">注：本表反映本年度各项支出情况。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8" w:name="_Toc22229"/>
      <w:r>
        <w:rPr>
          <w:rFonts w:ascii="黑体" w:eastAsia="黑体" w:hAnsi="黑体" w:hint="eastAsia"/>
          <w:sz w:val="30"/>
          <w:szCs w:val="30"/>
          <w:lang w:val="en-US" w:eastAsia="zh-CN"/>
        </w:rPr>
        <w:t xml:space="preserve">五、《财政拨款收入支出决算总表》</w:t>
      </w:r>
      <w:bookmarkEnd w:id="8"/>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3051"/>
        <w:gridCol w:w="2324"/>
        <w:gridCol w:w="2968"/>
        <w:gridCol w:w="2004"/>
        <w:gridCol w:w="1992"/>
        <w:gridCol w:w="1932"/>
        <w:gridCol w:w="201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343" w:type="dxa"/>
            <w:gridSpan w:val="3"/>
            <w:tcBorders>
              <w:top w:val="nil"/>
              <w:left w:val="nil"/>
              <w:bottom w:val="nil"/>
              <w:right w:val="nil"/>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华北地质勘查局第四地质大队</w:t>
            </w:r>
          </w:p>
        </w:tc>
        <w:tc>
          <w:tcPr>
            <w:tcW w:w="2004"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1992" w:type="dxa"/>
            <w:tcBorders>
              <w:top w:val="nil"/>
              <w:left w:val="nil"/>
              <w:bottom w:val="nil"/>
              <w:right w:val="nil"/>
            </w:tcBorders>
            <w:shd w:val="clear" w:color="auto" w:fill="FFFFFF"/>
            <w:noWrap w:val="1"/>
            <w:vAlign w:val="center"/>
          </w:tcPr>
          <w:p>
            <w:pPr>
              <w:divId w:val="0"/>
              <w:snapToGrid w:val="0"/>
              <w:jc w:val="right"/>
              <w:rPr>
                <w:rFonts w:ascii="宋体" w:eastAsia="宋体" w:hAnsi="宋体" w:cs="宋体" w:hint="eastAsia"/>
                <w:i w:val="0"/>
                <w:iCs w:val="0"/>
                <w:color w:val="000000"/>
                <w:sz w:val="20"/>
                <w:szCs w:val="20"/>
                <w:u w:val="none"/>
              </w:rPr>
            </w:pPr>
          </w:p>
        </w:tc>
        <w:tc>
          <w:tcPr>
            <w:tcW w:w="3949" w:type="dxa"/>
            <w:gridSpan w:val="2"/>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375" w:type="dxa"/>
            <w:gridSpan w:val="2"/>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收入</w:t>
            </w:r>
          </w:p>
        </w:tc>
        <w:tc>
          <w:tcPr>
            <w:tcW w:w="10913" w:type="dxa"/>
            <w:gridSpan w:val="5"/>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32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99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1932"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017" w:type="dxa"/>
            <w:tcBorders>
              <w:top w:val="single" w:sz="4" w:space="0" w:color="000000"/>
              <w:left w:val="single" w:sz="4" w:space="0" w:color="000000"/>
              <w:bottom w:val="single" w:sz="4" w:space="0" w:color="000000"/>
              <w:right w:val="single" w:sz="4" w:space="0" w:color="000000"/>
            </w:tcBorders>
            <w:shd w:val="clear" w:color="auto" w:fill="FFFFFF"/>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国有资本经营预算财政拨款</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24081200.00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一、一般公共服务支出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二、公共安全支出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三、教育支出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四、科学技术支出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五、文化旅游体育与传媒支出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六、社会保障和就业支出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4855000.00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4855000.00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七、卫生健康支出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1742200.00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1742200.00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八、节能环保支出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九、城乡社区支出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十、农林水支出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十一、交通运输支出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十二、资源勘探工业信息等支出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十三、商业服务业等支出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十四、金融支出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十五、援助其他地区支出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十六、自然资源海洋气象等支出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17484000.00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17484000.00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十七、住房保障支出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十八、粮油物资储备支出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十九、国有资本经营预算支出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二十、灾害防治及应急管理支出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017"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二十一、其他支出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二十二、债务付息支出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二十三、抗疫特别国债安排的支出</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本年收入合计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24081200.00</w:t>
            </w: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本年支出合计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24081200.00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24081200.00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年初财政拨款结转和结余</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年末财政拨款结转和结余</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spacing w:line="240" w:lineRule="auto"/>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一般公共预算财政拨款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ind w:left="0" w:firstLine="0" w:leftChars="0" w:firstLineChars="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政府性基金预算财政拨款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国有资本经营预算财政拨款</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968"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rPr>
            </w:pP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05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32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24081200.00</w:t>
            </w:r>
          </w:p>
        </w:tc>
        <w:tc>
          <w:tcPr>
            <w:tcW w:w="2968"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总计</w:t>
            </w:r>
          </w:p>
        </w:tc>
        <w:tc>
          <w:tcPr>
            <w:tcW w:w="2004"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333333"/>
                <w:kern w:val="0.0"/>
                <w:sz w:val="20"/>
                <w:szCs w:val="20"/>
                <w:u w:val="none"/>
                <w:lang w:val="en-US" w:eastAsia="zh-CN"/>
              </w:rPr>
              <w:t xml:space="preserve">24081200.00</w:t>
            </w:r>
          </w:p>
        </w:tc>
        <w:tc>
          <w:tcPr>
            <w:tcW w:w="199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r>
              <w:rPr>
                <w:rFonts w:ascii="Times New Roman" w:eastAsia="宋体" w:hAnsi="Times New Roman" w:cs="Times New Roman" w:hint="default"/>
                <w:i w:val="0"/>
                <w:iCs w:val="0"/>
                <w:color w:val="333333"/>
                <w:kern w:val="0.0"/>
                <w:sz w:val="20"/>
                <w:szCs w:val="20"/>
                <w:u w:val="none"/>
                <w:lang w:val="en-US" w:eastAsia="zh-CN"/>
              </w:rPr>
              <w:t xml:space="preserve">24081200.00</w:t>
            </w:r>
          </w:p>
        </w:tc>
        <w:tc>
          <w:tcPr>
            <w:tcW w:w="1932"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17"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single" w:sz="4" w:space="0" w:color="000000"/>
              <w:left w:val="nil"/>
              <w:bottom w:val="nil"/>
              <w:right w:val="nil"/>
            </w:tcBorders>
            <w:shd w:val="clear" w:color="auto" w:fill="FFFFFF"/>
            <w:noWrap w:val="1"/>
            <w:vAlign w:val="center"/>
          </w:tcPr>
          <w:p>
            <w:pPr>
              <w:divId w:val="0"/>
              <w:keepNext w:val="0"/>
              <w:keepLines w:val="0"/>
              <w:widowControl/>
              <w:suppressLineNumbers w:val="0"/>
              <w:snapToGrid w:val="0"/>
              <w:jc w:val="left"/>
              <w:textAlignment w:val="center"/>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sz w:val="20"/>
                <w:szCs w:val="20"/>
                <w:u w:val="none"/>
              </w:rPr>
              <w:t xml:space="preserve">注：本表反映本年度一般公共预算财政拨款、政府性基金预算财政拨款和国有资本经营预算财政拨款的总收支和年末结转结余情况。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9" w:name="_Toc13290"/>
      <w:r>
        <w:rPr>
          <w:rFonts w:ascii="黑体" w:eastAsia="黑体" w:hAnsi="黑体" w:hint="eastAsia"/>
          <w:sz w:val="30"/>
          <w:szCs w:val="30"/>
          <w:lang w:val="en-US" w:eastAsia="zh-CN"/>
        </w:rPr>
        <w:t xml:space="preserve">六、《一般公共预算财政拨款支出决算表》</w:t>
      </w:r>
      <w:bookmarkEnd w:id="9"/>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66"/>
        <w:gridCol w:w="2891"/>
        <w:gridCol w:w="2446"/>
        <w:gridCol w:w="2446"/>
        <w:gridCol w:w="2446"/>
        <w:gridCol w:w="2446"/>
        <w:gridCol w:w="244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13841" w:type="dxa"/>
            <w:gridSpan w:val="6"/>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Style w:val="font41"/>
                <w:lang w:val="en-US" w:eastAsia="zh-CN"/>
              </w:rPr>
              <w:t xml:space="preserve">华北地质勘查局第四地质大队</w:t>
            </w:r>
          </w:p>
        </w:tc>
        <w:tc>
          <w:tcPr>
            <w:tcW w:w="2447"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支出功能分类科目</w:t>
            </w:r>
          </w:p>
        </w:tc>
        <w:tc>
          <w:tcPr>
            <w:tcW w:w="2446"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7338" w:type="dxa"/>
            <w:gridSpan w:val="3"/>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基本支</w:t>
            </w:r>
            <w:r>
              <w:rPr>
                <w:rFonts w:ascii="宋体" w:eastAsia="宋体" w:hAnsi="宋体" w:cs="宋体" w:hint="eastAsia"/>
                <w:i w:val="0"/>
                <w:iCs w:val="0"/>
                <w:color w:val="262626"/>
                <w:kern w:val="0.0"/>
                <w:sz w:val="22"/>
                <w:szCs w:val="22"/>
                <w:u w:val="none"/>
                <w:lang w:val="en-US" w:eastAsia="zh-CN"/>
              </w:rPr>
              <w:t xml:space="preserve">出</w:t>
            </w:r>
            <w:r>
              <w:rPr>
                <w:rFonts w:ascii="宋体" w:eastAsia="宋体" w:hAnsi="宋体" w:cs="宋体" w:hint="eastAsia"/>
                <w:i w:val="0"/>
                <w:iCs w:val="0"/>
                <w:color w:val="262626"/>
                <w:kern w:val="0.0"/>
                <w:sz w:val="22"/>
                <w:szCs w:val="22"/>
                <w:u w:val="none"/>
                <w:lang w:val="en-US" w:eastAsia="zh-CN"/>
              </w:rPr>
              <w:t xml:space="preserve">  </w:t>
            </w:r>
          </w:p>
        </w:tc>
        <w:tc>
          <w:tcPr>
            <w:tcW w:w="2447" w:type="dxa"/>
            <w:vMerge w:val="restart"/>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项目支出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6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科目编码</w:t>
            </w:r>
          </w:p>
        </w:tc>
        <w:tc>
          <w:tcPr>
            <w:tcW w:w="2891"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科目名称</w:t>
            </w:r>
          </w:p>
        </w:tc>
        <w:tc>
          <w:tcPr>
            <w:tcW w:w="2446"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小计</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人员经费</w:t>
            </w:r>
          </w:p>
        </w:tc>
        <w:tc>
          <w:tcPr>
            <w:tcW w:w="2446" w:type="dxa"/>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公用经费</w:t>
            </w:r>
          </w:p>
        </w:tc>
        <w:tc>
          <w:tcPr>
            <w:tcW w:w="2447" w:type="dxa"/>
            <w:vMerge/>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snapToGrid w:val="0"/>
              <w:jc w:val="center"/>
              <w:rPr>
                <w:rFonts w:ascii="宋体" w:eastAsia="宋体" w:hAnsi="宋体" w:cs="宋体" w:hint="eastAsia"/>
                <w:i w:val="0"/>
                <w:iCs w:val="0"/>
                <w:color w:val="262626"/>
                <w:sz w:val="22"/>
                <w:szCs w:val="22"/>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4057" w:type="dxa"/>
            <w:gridSpan w:val="2"/>
            <w:tcBorders>
              <w:top w:val="single" w:sz="4" w:space="0" w:color="000000"/>
              <w:left w:val="single" w:sz="4" w:space="0" w:color="000000"/>
              <w:bottom w:val="single" w:sz="4" w:space="0" w:color="000000"/>
              <w:right w:val="single" w:sz="4" w:space="0" w:color="000000"/>
            </w:tcBorders>
            <w:shd w:val="clear" w:color="000000" w:fill="FFFFFF"/>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262626"/>
                <w:sz w:val="22"/>
                <w:szCs w:val="22"/>
                <w:u w:val="none"/>
              </w:rPr>
            </w:pPr>
            <w:r>
              <w:rPr>
                <w:rFonts w:ascii="宋体" w:eastAsia="宋体" w:hAnsi="宋体" w:cs="宋体" w:hint="eastAsia"/>
                <w:i w:val="0"/>
                <w:iCs w:val="0"/>
                <w:color w:val="262626"/>
                <w:kern w:val="0.0"/>
                <w:sz w:val="22"/>
                <w:szCs w:val="22"/>
                <w:u w:val="none"/>
                <w:lang w:val="en-US" w:eastAsia="zh-CN"/>
              </w:rPr>
              <w:t xml:space="preserve">合计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24081200.00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24081200.00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kern w:val="0.0"/>
                <w:sz w:val="20"/>
                <w:szCs w:val="20"/>
                <w:u w:val="none"/>
                <w:lang w:val="en-US" w:eastAsia="zh-CN"/>
              </w:rPr>
              <w:t xml:space="preserve">24081200.00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社会保障和就业支出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行政事业单位养老支出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4855000.00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2080505</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3237000.00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2080506</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1618000.00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卫生健康支出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1742200.00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1742200.00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1742200.00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行政事业单位医疗</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1742200.00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1742200.00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1742200.00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2101102</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1213200.00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1213200.00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1213200.00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2101199</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529000.00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自然资源海洋气象等支出</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自然资源事务</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66"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r>
              <w:rPr>
                <w:rFonts w:ascii="宋体" w:eastAsia="宋体" w:hAnsi="宋体" w:cs="宋体" w:hint="eastAsia"/>
                <w:i w:val="0"/>
                <w:iCs w:val="0"/>
                <w:color w:val="000000"/>
                <w:spacing w:val="0"/>
                <w:w w:val="100"/>
                <w:sz w:val="20"/>
                <w:szCs w:val="20"/>
                <w:u w:val="none"/>
                <w:lang w:val="en-US" w:eastAsia="zh-CN"/>
              </w:rPr>
              <w:t xml:space="preserve">2200150</w:t>
            </w:r>
          </w:p>
        </w:tc>
        <w:tc>
          <w:tcPr>
            <w:tcW w:w="289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r>
              <w:rPr>
                <w:rFonts w:ascii="Times New Roman" w:eastAsia="宋体" w:hAnsi="Times New Roman" w:cs="Times New Roman" w:hint="default"/>
                <w:i w:val="0"/>
                <w:iCs w:val="0"/>
                <w:color w:val="000000"/>
                <w:sz w:val="20"/>
                <w:szCs w:val="20"/>
                <w:u w:val="none"/>
              </w:rPr>
              <w:t xml:space="preserve">17484000.00</w:t>
            </w:r>
          </w:p>
        </w:tc>
        <w:tc>
          <w:tcPr>
            <w:tcW w:w="2446"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c>
          <w:tcPr>
            <w:tcW w:w="2447"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7"/>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0" w:name="_Toc16463"/>
      <w:r>
        <w:rPr>
          <w:rFonts w:ascii="黑体" w:eastAsia="黑体" w:hAnsi="黑体" w:hint="eastAsia"/>
          <w:sz w:val="30"/>
          <w:szCs w:val="30"/>
          <w:lang w:val="en-US" w:eastAsia="zh-CN"/>
        </w:rPr>
        <w:t xml:space="preserve">七、《一般公共预算财政拨款基本支出决算表》</w:t>
      </w:r>
      <w:bookmarkEnd w:id="10"/>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723"/>
        <w:gridCol w:w="2475"/>
        <w:gridCol w:w="2231"/>
        <w:gridCol w:w="754"/>
        <w:gridCol w:w="2444"/>
        <w:gridCol w:w="2231"/>
        <w:gridCol w:w="797"/>
        <w:gridCol w:w="2401"/>
        <w:gridCol w:w="2232"/>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8627" w:type="dxa"/>
            <w:gridSpan w:val="5"/>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华北地质勘查局第四地质大队</w:t>
            </w:r>
          </w:p>
        </w:tc>
        <w:tc>
          <w:tcPr>
            <w:tcW w:w="2231"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797"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633"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5429" w:type="dxa"/>
            <w:gridSpan w:val="3"/>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w:t>
            </w:r>
          </w:p>
        </w:tc>
        <w:tc>
          <w:tcPr>
            <w:tcW w:w="1085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w:t>
            </w:r>
          </w:p>
        </w:tc>
      </w:tr>
      <w:tr>
        <w:tblPrEx>
          <w:tblW w:w="16288" w:type="dxa"/>
          <w:jc w:val="center"/>
          <w:tblLayout w:type="fixed"/>
          <w:tblCellMar>
            <w:top w:w="0" w:type="dxa"/>
            <w:left w:w="108" w:type="dxa"/>
            <w:bottom w:w="0" w:type="dxa"/>
            <w:right w:w="108" w:type="dxa"/>
          </w:tblCellMar>
          <w:tblLook w:val="0000"/>
        </w:tblPrEx>
        <w:trPr>
          <w:trHeight w:hRule="exact" w:val="850"/>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232"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决算数</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21735048.00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国外债务发行费用</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基本工资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10059085.13</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津贴补贴</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3756362.87</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印刷费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房屋建筑物购建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手续费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办公设备购置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伙食补助费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专用设备购置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绩效工资</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750000.00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基础设施建设</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机关事业单位基本养老保险缴费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3237000.00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邮电费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大型修缮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职业年金缴费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1618000.00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取暖费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信息网络及软件购置更新</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职工基本医疗保险缴费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1188600.00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30209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物业管理费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31008</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物资储备</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公务员医疗补助缴费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差旅费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31009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土地补偿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其他社会保障缴费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519356.06</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30212</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因公出国（境）费用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31010</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安置补助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住房公积金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485643.94</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维</w:t>
            </w:r>
            <w:r>
              <w:rPr>
                <w:rFonts w:ascii="宋体" w:eastAsia="宋体" w:hAnsi="宋体" w:cs="宋体" w:hint="eastAsia"/>
                <w:i w:val="0"/>
                <w:iCs w:val="0"/>
                <w:color w:val="000000"/>
                <w:kern w:val="0.0"/>
                <w:sz w:val="20"/>
                <w:szCs w:val="20"/>
                <w:u w:val="none"/>
                <w:lang w:val="en-US" w:eastAsia="zh-CN"/>
              </w:rPr>
              <w:t xml:space="preserve">修</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护</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地上附着物和青苗补偿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30114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121000.00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租赁费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拆迁补偿</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30199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其他工资福利支出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会议费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对个人和家庭的补助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2346152.00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培训费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31019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其他交通工具购置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离休费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196798.80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公务接待费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文物和陈列品购置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30302</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退休费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1716753.20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30218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专用材料费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31022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无形资产购置</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30303</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退职（役）费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30224</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被装购置费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31099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30304</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抚恤金</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30225</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专用燃料费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312</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30305</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生活补助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30226</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劳务费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31201</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资本金注入</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30306</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救济费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30227</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委托业务费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31203</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政府投资基金股权投资</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30307</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医疗费补助</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r>
              <w:rPr>
                <w:rFonts w:ascii="Times New Roman" w:eastAsia="宋体" w:hAnsi="Times New Roman" w:cs="Times New Roman" w:hint="default"/>
                <w:i w:val="0"/>
                <w:iCs w:val="0"/>
                <w:color w:val="000000"/>
                <w:kern w:val="0.0"/>
                <w:sz w:val="20"/>
                <w:szCs w:val="20"/>
                <w:u w:val="none"/>
                <w:lang w:val="en-US" w:eastAsia="zh-CN"/>
              </w:rPr>
              <w:t xml:space="preserve">432600.00</w:t>
            </w: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30228</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工会经费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31204</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费用补贴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30308</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助学金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30229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福利费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31205</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利息补贴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30309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奖励金</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30231</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公务用车运行维护费</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31206</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其他资本性补助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30310</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个人农业生产补贴</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30239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其他交通费用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31299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其他对企业补助</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30311</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代缴社会保险费</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30240</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税金及附加费用</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399</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30399</w:t>
            </w: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其他对个人和家庭的补助</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30299</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其他商品和服务支出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39907</w:t>
            </w:r>
          </w:p>
        </w:tc>
        <w:tc>
          <w:tcPr>
            <w:tcW w:w="240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国家赔偿费用支出</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794"/>
          <w:jc w:val="center"/>
        </w:trPr>
        <w:tc>
          <w:tcPr>
            <w:tcW w:w="723"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307</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债务利息及费用支出</w:t>
            </w:r>
          </w:p>
        </w:tc>
        <w:tc>
          <w:tcPr>
            <w:tcW w:w="223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39908</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对民间非营利组织和群众性自治组织补贴</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30701</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39909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经常性赠与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30702</w:t>
            </w:r>
          </w:p>
        </w:tc>
        <w:tc>
          <w:tcPr>
            <w:tcW w:w="2444"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国外债务付息</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39910</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资本性赠与</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723" w:type="dxa"/>
            <w:tcBorders>
              <w:top w:val="single" w:sz="4" w:space="0" w:color="000000"/>
              <w:left w:val="single" w:sz="4" w:space="0" w:color="000000"/>
              <w:bottom w:val="nil"/>
              <w:right w:val="single" w:sz="4" w:space="0" w:color="000000"/>
            </w:tcBorders>
            <w:noWrap w:val="1"/>
            <w:vAlign w:val="center"/>
          </w:tcPr>
          <w:p>
            <w:pPr>
              <w:divId w:val="0"/>
              <w:snapToGrid w:val="0"/>
              <w:jc w:val="left"/>
              <w:rPr>
                <w:rFonts w:ascii="宋体" w:eastAsia="宋体" w:hAnsi="宋体" w:cs="宋体" w:hint="eastAsia"/>
                <w:i w:val="0"/>
                <w:iCs w:val="0"/>
                <w:color w:val="000000"/>
                <w:sz w:val="20"/>
                <w:szCs w:val="20"/>
                <w:u w:val="none"/>
              </w:rPr>
            </w:pPr>
          </w:p>
        </w:tc>
        <w:tc>
          <w:tcPr>
            <w:tcW w:w="2475" w:type="dxa"/>
            <w:tcBorders>
              <w:top w:val="single" w:sz="4" w:space="0" w:color="000000"/>
              <w:left w:val="single" w:sz="4" w:space="0" w:color="000000"/>
              <w:bottom w:val="nil"/>
              <w:right w:val="single" w:sz="4" w:space="0" w:color="000000"/>
            </w:tcBorders>
            <w:noWrap w:val="1"/>
            <w:vAlign w:val="center"/>
          </w:tcPr>
          <w:p>
            <w:pPr>
              <w:divId w:val="0"/>
              <w:snapToGrid w:val="0"/>
              <w:rPr>
                <w:rFonts w:ascii="宋体" w:eastAsia="宋体" w:hAnsi="宋体" w:cs="宋体" w:hint="eastAsia"/>
                <w:i w:val="0"/>
                <w:iCs w:val="0"/>
                <w:color w:val="000000"/>
                <w:sz w:val="20"/>
                <w:szCs w:val="20"/>
                <w:u w:val="none"/>
              </w:rPr>
            </w:pPr>
          </w:p>
        </w:tc>
        <w:tc>
          <w:tcPr>
            <w:tcW w:w="2231" w:type="dxa"/>
            <w:tcBorders>
              <w:top w:val="single" w:sz="4" w:space="0" w:color="000000"/>
              <w:left w:val="single" w:sz="4" w:space="0" w:color="000000"/>
              <w:bottom w:val="nil"/>
              <w:right w:val="single" w:sz="4" w:space="0" w:color="000000"/>
            </w:tcBorders>
            <w:noWrap w:val="1"/>
            <w:vAlign w:val="center"/>
          </w:tcPr>
          <w:p>
            <w:pPr>
              <w:divId w:val="0"/>
              <w:snapToGrid w:val="0"/>
              <w:jc w:val="right"/>
              <w:rPr>
                <w:rFonts w:ascii="Times New Roman" w:eastAsia="宋体" w:hAnsi="Times New Roman" w:cs="Times New Roman" w:hint="default"/>
                <w:i w:val="0"/>
                <w:iCs w:val="0"/>
                <w:color w:val="000000"/>
                <w:kern w:val="0.0"/>
                <w:sz w:val="20"/>
                <w:szCs w:val="20"/>
                <w:u w:val="none"/>
                <w:lang w:val="en-US" w:eastAsia="zh-CN"/>
              </w:rPr>
            </w:pPr>
          </w:p>
        </w:tc>
        <w:tc>
          <w:tcPr>
            <w:tcW w:w="7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30703</w:t>
            </w:r>
          </w:p>
        </w:tc>
        <w:tc>
          <w:tcPr>
            <w:tcW w:w="244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国内债务发行费用</w:t>
            </w:r>
          </w:p>
        </w:tc>
        <w:tc>
          <w:tcPr>
            <w:tcW w:w="2231"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c>
          <w:tcPr>
            <w:tcW w:w="797"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39999</w:t>
            </w:r>
          </w:p>
        </w:tc>
        <w:tc>
          <w:tcPr>
            <w:tcW w:w="2401" w:type="dxa"/>
            <w:tcBorders>
              <w:top w:val="single" w:sz="4" w:space="0" w:color="000000"/>
              <w:left w:val="single" w:sz="4" w:space="0" w:color="000000"/>
              <w:bottom w:val="nil"/>
              <w:right w:val="single" w:sz="4" w:space="0" w:color="000000"/>
            </w:tcBorders>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其他支出</w:t>
            </w:r>
          </w:p>
        </w:tc>
        <w:tc>
          <w:tcPr>
            <w:tcW w:w="2232" w:type="dxa"/>
            <w:tcBorders>
              <w:top w:val="single" w:sz="4" w:space="0" w:color="000000"/>
              <w:left w:val="single" w:sz="4" w:space="0" w:color="000000"/>
              <w:bottom w:val="nil"/>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i w:val="0"/>
                <w:iCs w:val="0"/>
                <w:color w:val="000000"/>
                <w:kern w:val="0.0"/>
                <w:sz w:val="20"/>
                <w:szCs w:val="20"/>
                <w:u w:val="none"/>
                <w:lang w:val="en-US" w:eastAsia="zh-CN"/>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198" w:type="dxa"/>
            <w:gridSpan w:val="2"/>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人员经费合计</w:t>
            </w:r>
          </w:p>
        </w:tc>
        <w:tc>
          <w:tcPr>
            <w:tcW w:w="2231"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r>
              <w:rPr>
                <w:rFonts w:ascii="Times New Roman" w:eastAsia="宋体" w:hAnsi="Times New Roman" w:cs="Times New Roman" w:hint="default"/>
                <w:b/>
                <w:bCs/>
                <w:i w:val="0"/>
                <w:iCs w:val="0"/>
                <w:color w:val="000000"/>
                <w:kern w:val="0.0"/>
                <w:sz w:val="20"/>
                <w:szCs w:val="20"/>
                <w:u w:val="none"/>
                <w:lang w:val="en-US" w:eastAsia="zh-CN"/>
              </w:rPr>
              <w:t xml:space="preserve">24081200.00</w:t>
            </w:r>
          </w:p>
        </w:tc>
        <w:tc>
          <w:tcPr>
            <w:tcW w:w="8627" w:type="dxa"/>
            <w:gridSpan w:val="5"/>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b/>
                <w:bCs/>
                <w:i w:val="0"/>
                <w:iCs w:val="0"/>
                <w:color w:val="000000"/>
                <w:sz w:val="20"/>
                <w:szCs w:val="20"/>
                <w:u w:val="none"/>
              </w:rPr>
            </w:pPr>
            <w:r>
              <w:rPr>
                <w:rFonts w:ascii="宋体" w:eastAsia="宋体" w:hAnsi="宋体" w:cs="宋体" w:hint="eastAsia"/>
                <w:b/>
                <w:bCs/>
                <w:i w:val="0"/>
                <w:iCs w:val="0"/>
                <w:color w:val="000000"/>
                <w:kern w:val="0.0"/>
                <w:sz w:val="20"/>
                <w:szCs w:val="20"/>
                <w:u w:val="none"/>
                <w:lang w:val="en-US" w:eastAsia="zh-CN"/>
              </w:rPr>
              <w:t xml:space="preserve">公用经费合计</w:t>
            </w:r>
          </w:p>
        </w:tc>
        <w:tc>
          <w:tcPr>
            <w:tcW w:w="2232"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textAlignment w:val="center"/>
              <w:rPr>
                <w:rFonts w:ascii="Times New Roman" w:eastAsia="宋体" w:hAnsi="Times New Roman" w:cs="Times New Roman" w:hint="default"/>
                <w:b/>
                <w:bCs/>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9"/>
            <w:tcBorders>
              <w:top w:val="single" w:sz="4" w:space="0" w:color="000000"/>
              <w:left w:val="nil"/>
              <w:bottom w:val="nil"/>
              <w:right w:val="nil"/>
            </w:tcBorders>
            <w:noWrap w:val="1"/>
            <w:vAlign w:val="center"/>
          </w:tcPr>
          <w:p>
            <w:pPr>
              <w:pStyle w:val="普通(网站)"/>
              <w:keepNext w:val="0"/>
              <w:keepLines w:val="0"/>
              <w:widowControl/>
              <w:suppressLineNumbers w:val="0"/>
              <w:snapToGrid w:val="0"/>
              <w:spacing w:before="60" w:beforeAutospacing="0" w:after="60" w:afterAutospacing="0"/>
              <w:ind w:left="0" w:right="0" w:leftChars="0" w:rightChars="0"/>
              <w:jc w:val="left"/>
              <w:rPr>
                <w:rFonts w:ascii="宋体" w:eastAsia="宋体" w:hAnsi="宋体" w:cs="宋体" w:hint="eastAsia"/>
                <w:b/>
                <w:bCs/>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注：本表反映本年度一般公共预算财政拨款支出情况。</w:t>
            </w:r>
          </w:p>
        </w:tc>
      </w:tr>
    </w:tbl>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1" w:name="_Toc360"/>
      <w:r>
        <w:rPr>
          <w:rFonts w:ascii="黑体" w:eastAsia="黑体" w:hAnsi="黑体" w:hint="eastAsia"/>
          <w:b/>
          <w:bCs/>
          <w:sz w:val="30"/>
          <w:szCs w:val="30"/>
          <w:lang w:val="en-US" w:eastAsia="zh-CN"/>
        </w:rPr>
        <w:t xml:space="preserve">八、《政府性基金预算财政拨款收入支出决算表》</w:t>
      </w:r>
      <w:bookmarkEnd w:id="11"/>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35"/>
        <w:gridCol w:w="2828"/>
        <w:gridCol w:w="2070"/>
        <w:gridCol w:w="2071"/>
        <w:gridCol w:w="2071"/>
        <w:gridCol w:w="2071"/>
        <w:gridCol w:w="2071"/>
        <w:gridCol w:w="207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tblHeader/>
          <w:jc w:val="center"/>
        </w:trPr>
        <w:tc>
          <w:tcPr>
            <w:tcW w:w="10075" w:type="dxa"/>
            <w:gridSpan w:val="5"/>
            <w:tcBorders>
              <w:top w:val="nil"/>
              <w:left w:val="nil"/>
              <w:bottom w:val="nil"/>
              <w:right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华北地质勘查局第四地质大队</w:t>
            </w: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071" w:type="dxa"/>
            <w:tcBorders>
              <w:top w:val="nil"/>
              <w:left w:val="nil"/>
              <w:bottom w:val="nil"/>
              <w:right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支出功能分类科目</w:t>
            </w:r>
          </w:p>
        </w:tc>
        <w:tc>
          <w:tcPr>
            <w:tcW w:w="2070"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621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28"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207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35"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828"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0"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207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3863"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070"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35"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2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070"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71"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注：本表反映本年度政府性基金预算财政拨款收入、支出及结转和结余情况。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华北地质勘查局第四地质大队2025年度政府性基金预算财政拨款收入支出决算表为空表。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2" w:name="_Toc22450"/>
      <w:r>
        <w:rPr>
          <w:rFonts w:ascii="黑体" w:eastAsia="黑体" w:hAnsi="黑体" w:hint="eastAsia"/>
          <w:b/>
          <w:bCs/>
          <w:sz w:val="30"/>
          <w:szCs w:val="30"/>
          <w:lang w:val="en-US" w:eastAsia="zh-CN"/>
        </w:rPr>
        <w:t xml:space="preserve">九、《国有资本经营预算财政拨款收入支出决算表》</w:t>
      </w:r>
      <w:bookmarkEnd w:id="12"/>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059"/>
        <w:gridCol w:w="4663"/>
        <w:gridCol w:w="1761"/>
        <w:gridCol w:w="1761"/>
        <w:gridCol w:w="1761"/>
        <w:gridCol w:w="1761"/>
        <w:gridCol w:w="1761"/>
        <w:gridCol w:w="1761"/>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tblHeader/>
          <w:jc w:val="center"/>
        </w:trPr>
        <w:tc>
          <w:tcPr>
            <w:tcW w:w="9244" w:type="dxa"/>
            <w:gridSpan w:val="4"/>
            <w:tcBorders>
              <w:top w:val="nil"/>
              <w:left w:val="nil"/>
              <w:bottom w:val="nil"/>
              <w:right w:val="nil"/>
            </w:tcBorders>
            <w:noWrap w:val="1"/>
            <w:vAlign w:val="center"/>
          </w:tcPr>
          <w:p>
            <w:pPr>
              <w:divId w:val="0"/>
              <w:snapToGrid w:val="0"/>
              <w:jc w:val="left"/>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华北地质勘查局第四地质大队</w:t>
            </w: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vAlign w:val="center"/>
          </w:tcPr>
          <w:p>
            <w:pPr>
              <w:divId w:val="0"/>
              <w:snapToGrid w:val="0"/>
              <w:rPr>
                <w:rFonts w:ascii="宋体" w:eastAsia="宋体" w:hAnsi="宋体" w:cs="宋体" w:hint="eastAsia"/>
                <w:i w:val="0"/>
                <w:iCs w:val="0"/>
                <w:color w:val="000000"/>
                <w:sz w:val="20"/>
                <w:szCs w:val="20"/>
                <w:u w:val="none"/>
              </w:rPr>
            </w:pPr>
          </w:p>
        </w:tc>
        <w:tc>
          <w:tcPr>
            <w:tcW w:w="1761" w:type="dxa"/>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w:t>
            </w:r>
            <w:r>
              <w:rPr>
                <w:rFonts w:ascii="宋体" w:eastAsia="宋体" w:hAnsi="宋体" w:cs="宋体" w:hint="eastAsia"/>
                <w:i w:val="0"/>
                <w:iCs w:val="0"/>
                <w:color w:val="000000"/>
                <w:kern w:val="0.0"/>
                <w:sz w:val="20"/>
                <w:szCs w:val="20"/>
                <w:u w:val="none"/>
                <w:lang w:val="en-US" w:eastAsia="zh-CN"/>
              </w:rPr>
              <w:t xml:space="preserve"> </w:t>
            </w:r>
            <w:r>
              <w:rPr>
                <w:rStyle w:val="font11"/>
                <w:sz w:val="20"/>
                <w:szCs w:val="20"/>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目</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年初结转和结余</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本年收入</w:t>
            </w:r>
          </w:p>
        </w:tc>
        <w:tc>
          <w:tcPr>
            <w:tcW w:w="5283" w:type="dxa"/>
            <w:gridSpan w:val="3"/>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本年支出</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年末结转和结余</w:t>
            </w: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4663"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基本支</w:t>
            </w:r>
            <w:r>
              <w:rPr>
                <w:rFonts w:ascii="宋体" w:eastAsia="宋体" w:hAnsi="宋体" w:cs="宋体" w:hint="eastAsia"/>
                <w:i w:val="0"/>
                <w:iCs w:val="0"/>
                <w:color w:val="000000"/>
                <w:kern w:val="0.0"/>
                <w:sz w:val="20"/>
                <w:szCs w:val="20"/>
                <w:u w:val="none"/>
                <w:lang w:val="en-US" w:eastAsia="zh-CN"/>
              </w:rPr>
              <w:t xml:space="preserve">出</w:t>
            </w:r>
            <w:r>
              <w:rPr>
                <w:rFonts w:ascii="宋体" w:eastAsia="宋体" w:hAnsi="宋体" w:cs="宋体" w:hint="eastAsia"/>
                <w:i w:val="0"/>
                <w:iCs w:val="0"/>
                <w:color w:val="000000"/>
                <w:kern w:val="0.0"/>
                <w:sz w:val="20"/>
                <w:szCs w:val="20"/>
                <w:u w:val="none"/>
                <w:lang w:val="en-US" w:eastAsia="zh-CN"/>
              </w:rPr>
              <w:t xml:space="preserve">  </w:t>
            </w:r>
          </w:p>
        </w:tc>
        <w:tc>
          <w:tcPr>
            <w:tcW w:w="1761" w:type="dxa"/>
            <w:vMerge w:val="restart"/>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项目支出</w:t>
            </w: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tblHeader/>
          <w:jc w:val="center"/>
        </w:trPr>
        <w:tc>
          <w:tcPr>
            <w:tcW w:w="1059"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4663"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c>
          <w:tcPr>
            <w:tcW w:w="1761" w:type="dxa"/>
            <w:vMerge/>
            <w:tcBorders>
              <w:top w:val="single" w:sz="4" w:space="0" w:color="000000"/>
              <w:left w:val="single" w:sz="4" w:space="0" w:color="000000"/>
              <w:bottom w:val="single" w:sz="4" w:space="0" w:color="000000"/>
              <w:right w:val="single" w:sz="4" w:space="0" w:color="000000"/>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tblHeader/>
          <w:jc w:val="center"/>
        </w:trPr>
        <w:tc>
          <w:tcPr>
            <w:tcW w:w="5722"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397"/>
          <w:tblHeader/>
          <w:jc w:val="center"/>
        </w:trPr>
        <w:tc>
          <w:tcPr>
            <w:tcW w:w="1059"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466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c>
          <w:tcPr>
            <w:tcW w:w="1761"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注：本表反映本年度国有资本</w:t>
            </w:r>
            <w:r>
              <w:rPr>
                <w:rFonts w:ascii="宋体" w:eastAsia="宋体" w:hAnsi="宋体" w:cs="宋体" w:hint="eastAsia"/>
                <w:b w:val="0"/>
                <w:bCs w:val="0"/>
                <w:i w:val="0"/>
                <w:iCs w:val="0"/>
                <w:color w:val="000000"/>
                <w:kern w:val="0.0"/>
                <w:sz w:val="20"/>
                <w:szCs w:val="20"/>
                <w:u w:val="none"/>
                <w:lang w:val="en-US" w:eastAsia="zh-CN"/>
              </w:rPr>
              <w:t xml:space="preserve">经营预算财政拨款收入、支</w:t>
            </w:r>
            <w:r>
              <w:rPr>
                <w:rFonts w:ascii="宋体" w:eastAsia="宋体" w:hAnsi="宋体" w:cs="宋体" w:hint="eastAsia"/>
                <w:i w:val="0"/>
                <w:iCs w:val="0"/>
                <w:color w:val="000000"/>
                <w:kern w:val="0.0"/>
                <w:sz w:val="20"/>
                <w:szCs w:val="20"/>
                <w:u w:val="none"/>
                <w:lang w:val="en-US" w:eastAsia="zh-CN"/>
              </w:rPr>
              <w:t xml:space="preserve">出及结转和结余情况。</w:t>
            </w:r>
          </w:p>
        </w:tc>
      </w:tr>
    </w:tbl>
    <w:p>
      <w:pPr>
        <w:divId w:val="0"/>
        <w:keepNext w:val="0"/>
        <w:keepLines w:val="0"/>
        <w:widowControl/>
        <w:suppressLineNumbers w:val="0"/>
        <w:snapToGrid w:val="0"/>
        <w:ind w:left="-960" w:firstLine="0" w:leftChars="-400" w:firstLineChars="0"/>
        <w:jc w:val="left"/>
        <w:textAlignment w:val="center"/>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华北地质勘查局第四地质大队2025年度国有资本经营预算财政拨款收入支出决算表为空表。</w:t>
      </w:r>
    </w:p>
    <w:p>
      <w:pPr>
        <w:pStyle w:val="标题2"/>
        <w:wordWrap w:val="0"/>
        <w:spacing w:before="0" w:after="0" w:line="800" w:lineRule="exact"/>
        <w:ind w:firstLine="600" w:firstLineChars="200"/>
        <w:rPr>
          <w:rFonts w:ascii="黑体" w:eastAsia="黑体" w:hAnsi="黑体" w:hint="eastAsia"/>
          <w:sz w:val="30"/>
          <w:szCs w:val="30"/>
          <w:lang w:val="en-US" w:eastAsia="zh-CN"/>
        </w:rPr>
      </w:pPr>
      <w:r>
        <w:rPr>
          <w:rFonts w:ascii="黑体" w:eastAsia="黑体" w:hAnsi="仿宋" w:hint="eastAsia"/>
          <w:sz w:val="21"/>
          <w:szCs w:val="21"/>
          <w:lang w:val="en-US" w:eastAsia="zh-CN"/>
        </w:rPr>
        <w:br w:type="page"/>
      </w:r>
      <w:bookmarkStart w:id="13" w:name="_Toc25280"/>
      <w:r>
        <w:rPr>
          <w:rFonts w:ascii="黑体" w:eastAsia="黑体" w:hAnsi="黑体" w:hint="eastAsia"/>
          <w:b/>
          <w:bCs/>
          <w:sz w:val="30"/>
          <w:szCs w:val="30"/>
          <w:lang w:val="en-US" w:eastAsia="zh-CN"/>
        </w:rPr>
        <w:t xml:space="preserve">十、《财政拨款“三公”经费支出决算表》</w:t>
      </w:r>
      <w:bookmarkEnd w:id="13"/>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2668"/>
        <w:gridCol w:w="3018"/>
        <w:gridCol w:w="2668"/>
        <w:gridCol w:w="2668"/>
        <w:gridCol w:w="2669"/>
        <w:gridCol w:w="2597"/>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hRule="auto" w:val="0"/>
          <w:jc w:val="center"/>
        </w:trPr>
        <w:tc>
          <w:tcPr>
            <w:tcW w:w="9448" w:type="dxa"/>
            <w:gridSpan w:val="4"/>
            <w:tcBorders>
              <w:bottom w:val="single" w:sz="4" w:space="0" w:color="auto"/>
              <w:tl2br w:val="nil"/>
              <w:tr2bl w:val="nil"/>
            </w:tcBorders>
            <w:shd w:val="clear" w:color="auto" w:fill="FFFFFF"/>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华北地质勘查局第四地质大队</w:t>
            </w:r>
          </w:p>
        </w:tc>
        <w:tc>
          <w:tcPr>
            <w:tcW w:w="2299" w:type="dxa"/>
            <w:tcBorders>
              <w:bottom w:val="single" w:sz="4" w:space="0" w:color="auto"/>
              <w:tl2br w:val="nil"/>
              <w:tr2bl w:val="nil"/>
            </w:tcBorders>
            <w:shd w:val="clear" w:color="auto" w:fill="FFFFFF"/>
            <w:vAlign w:val="center"/>
          </w:tcPr>
          <w:p>
            <w:pPr>
              <w:divId w:val="0"/>
              <w:snapToGrid w:val="0"/>
              <w:rPr>
                <w:rFonts w:ascii="宋体" w:eastAsia="宋体" w:hAnsi="宋体" w:cs="宋体" w:hint="eastAsia"/>
                <w:i w:val="0"/>
                <w:iCs w:val="0"/>
                <w:color w:val="000000"/>
                <w:sz w:val="20"/>
                <w:szCs w:val="20"/>
                <w:u w:val="none"/>
              </w:rPr>
            </w:pPr>
          </w:p>
        </w:tc>
        <w:tc>
          <w:tcPr>
            <w:tcW w:w="2299" w:type="dxa"/>
            <w:tcBorders>
              <w:bottom w:val="single" w:sz="4" w:space="0" w:color="auto"/>
              <w:tl2br w:val="nil"/>
              <w:tr2bl w:val="nil"/>
            </w:tcBorders>
            <w:shd w:val="clear" w:color="auto" w:fill="FFFFFF"/>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合计</w:t>
            </w:r>
          </w:p>
        </w:tc>
        <w:tc>
          <w:tcPr>
            <w:tcW w:w="2362"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因公出国（境）费</w:t>
            </w:r>
          </w:p>
        </w:tc>
        <w:tc>
          <w:tcPr>
            <w:tcW w:w="7087" w:type="dxa"/>
            <w:gridSpan w:val="3"/>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公务用车购置及运行维护费</w:t>
            </w:r>
          </w:p>
        </w:tc>
        <w:tc>
          <w:tcPr>
            <w:tcW w:w="2299" w:type="dxa"/>
            <w:vMerge w:val="restart"/>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公务接待费</w:t>
            </w: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小计</w:t>
            </w:r>
          </w:p>
        </w:tc>
        <w:tc>
          <w:tcPr>
            <w:tcW w:w="236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购置费</w:t>
            </w: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公务用车</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运行维护费</w:t>
            </w:r>
          </w:p>
        </w:tc>
        <w:tc>
          <w:tcPr>
            <w:tcW w:w="2299" w:type="dxa"/>
            <w:vMerge/>
            <w:tcBorders>
              <w:top w:val="single" w:sz="4" w:space="0" w:color="auto"/>
              <w:left w:val="single" w:sz="4" w:space="0" w:color="auto"/>
              <w:bottom w:val="single" w:sz="4" w:space="0" w:color="auto"/>
              <w:right w:val="single" w:sz="4" w:space="0" w:color="auto"/>
            </w:tcBorders>
            <w:vAlign w:val="center"/>
          </w:tcPr>
          <w:p>
            <w:pPr>
              <w:divId w:val="0"/>
              <w:snapToGrid w:val="0"/>
              <w:jc w:val="center"/>
              <w:rPr>
                <w:rFonts w:ascii="宋体" w:eastAsia="宋体" w:hAnsi="宋体" w:cs="宋体" w:hint="eastAsia"/>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2298"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672"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301"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299" w:type="dxa"/>
            <w:tcBorders>
              <w:top w:val="single" w:sz="4" w:space="0" w:color="auto"/>
              <w:left w:val="single" w:sz="4" w:space="0" w:color="auto"/>
              <w:bottom w:val="single" w:sz="4" w:space="0" w:color="auto"/>
              <w:right w:val="single" w:sz="4" w:space="0" w:color="auto"/>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hRule="auto" w:val="0"/>
          <w:jc w:val="center"/>
        </w:trPr>
        <w:tc>
          <w:tcPr>
            <w:tcW w:w="14168" w:type="dxa"/>
            <w:gridSpan w:val="6"/>
            <w:tcBorders>
              <w:top w:val="single" w:sz="4" w:space="0" w:color="auto"/>
              <w:tl2br w:val="nil"/>
              <w:tr2bl w:val="nil"/>
            </w:tcBorders>
            <w:vAlign w:val="center"/>
          </w:tcPr>
          <w:p>
            <w:pPr>
              <w:divId w:val="0"/>
              <w:snapToGrid w:val="0"/>
              <w:jc w:val="left"/>
              <w:rPr>
                <w:rFonts w:ascii="等线" w:eastAsia="等线" w:hAnsi="等线" w:cs="等线"/>
                <w:b w:val="0"/>
                <w:bCs w:val="0"/>
                <w:i w:val="0"/>
                <w:iCs w:val="0"/>
                <w:color w:val="333333"/>
                <w:spacing w:val="0"/>
                <w:w w:val="100"/>
                <w:sz w:val="20"/>
                <w:szCs w:val="20"/>
                <w:vertAlign w:val="baseline"/>
              </w:rPr>
            </w:pPr>
            <w:r>
              <w:rPr>
                <w:rFonts w:ascii="宋体" w:eastAsia="宋体" w:hAnsi="宋体" w:cs="宋体" w:hint="eastAsia"/>
                <w:i w:val="0"/>
                <w:iCs w:val="0"/>
                <w:color w:val="000000"/>
                <w:kern w:val="0.0"/>
                <w:sz w:val="20"/>
                <w:szCs w:val="20"/>
                <w:u w:val="none"/>
                <w:lang w:val="en-US" w:eastAsia="zh-CN"/>
              </w:rPr>
              <w:t xml:space="preserve">注：本表反映本年度一般公共预算和政府性基金预</w:t>
            </w:r>
            <w:r>
              <w:rPr>
                <w:rFonts w:ascii="宋体" w:eastAsia="宋体" w:hAnsi="宋体" w:cs="宋体" w:hint="eastAsia"/>
                <w:i w:val="0"/>
                <w:iCs w:val="0"/>
                <w:color w:val="000000"/>
                <w:kern w:val="0.0"/>
                <w:sz w:val="20"/>
                <w:szCs w:val="20"/>
                <w:u w:val="none"/>
                <w:lang w:val="en-US" w:eastAsia="zh-CN"/>
              </w:rPr>
              <w:t xml:space="preserve">算</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三</w:t>
            </w:r>
            <w:r>
              <w:rPr>
                <w:rFonts w:ascii="宋体" w:eastAsia="宋体" w:hAnsi="宋体" w:cs="宋体" w:hint="eastAsia"/>
                <w:i w:val="0"/>
                <w:iCs w:val="0"/>
                <w:color w:val="000000"/>
                <w:kern w:val="0.0"/>
                <w:sz w:val="20"/>
                <w:szCs w:val="20"/>
                <w:u w:val="none"/>
                <w:lang w:val="en-US" w:eastAsia="zh-CN"/>
              </w:rPr>
              <w:t xml:space="preserve">公</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i w:val="0"/>
                <w:iCs w:val="0"/>
                <w:color w:val="000000"/>
                <w:kern w:val="0.0"/>
                <w:sz w:val="20"/>
                <w:szCs w:val="20"/>
                <w:u w:val="none"/>
                <w:lang w:val="en-US" w:eastAsia="zh-CN"/>
              </w:rPr>
              <w:t xml:space="preserve">经费支出决算情况。</w:t>
            </w:r>
          </w:p>
        </w:tc>
      </w:tr>
    </w:tbl>
    <w:p>
      <w:pPr>
        <w:divId w:val="0"/>
        <w:snapToGrid w:val="0"/>
        <w:ind w:left="-960" w:firstLine="0" w:leftChars="-400" w:firstLineChars="0"/>
        <w:jc w:val="left"/>
        <w:rPr>
          <w:rFonts w:ascii="宋体" w:eastAsia="宋体" w:hAnsi="宋体" w:cs="宋体" w:hint="eastAsia"/>
          <w:i w:val="0"/>
          <w:iCs w:val="0"/>
          <w:color w:val="000000"/>
          <w:kern w:val="0.0"/>
          <w:sz w:val="20"/>
          <w:szCs w:val="20"/>
          <w:u w:val="none"/>
          <w:lang w:val="en-US" w:eastAsia="zh-CN"/>
        </w:rPr>
      </w:pPr>
      <w:r>
        <w:rPr>
          <w:rFonts w:ascii="宋体" w:eastAsia="宋体" w:hAnsi="宋体" w:cs="宋体" w:hint="eastAsia"/>
          <w:i w:val="0"/>
          <w:iCs w:val="0"/>
          <w:color w:val="000000"/>
          <w:kern w:val="0.0"/>
          <w:sz w:val="20"/>
          <w:szCs w:val="20"/>
          <w:u w:val="none"/>
          <w:lang w:val="en-US" w:eastAsia="zh-CN"/>
        </w:rPr>
        <w:t xml:space="preserve">华北地质勘查局第四地质大队2025年财政拨款“三公”经费支出决算表为空表。</w:t>
      </w:r>
    </w:p>
    <w:p>
      <w:pPr>
        <w:pStyle w:val="标题2"/>
        <w:wordWrap w:val="0"/>
        <w:spacing w:before="0" w:after="0" w:line="800" w:lineRule="exact"/>
        <w:ind w:firstLine="600" w:firstLineChars="200"/>
        <w:rPr>
          <w:rFonts w:ascii="黑体" w:eastAsia="黑体" w:hAnsi="黑体" w:hint="eastAsia"/>
          <w:b w:val="0"/>
          <w:sz w:val="30"/>
          <w:szCs w:val="30"/>
          <w:highlight w:val="none"/>
        </w:rPr>
      </w:pPr>
      <w:r>
        <w:rPr>
          <w:rFonts w:ascii="黑体" w:eastAsia="黑体" w:hAnsi="仿宋" w:hint="eastAsia"/>
          <w:sz w:val="21"/>
          <w:szCs w:val="21"/>
          <w:lang w:val="en-US" w:eastAsia="zh-CN"/>
        </w:rPr>
        <w:br w:type="page"/>
      </w:r>
      <w:bookmarkStart w:id="14" w:name="_Toc18372"/>
      <w:r>
        <w:rPr>
          <w:rFonts w:ascii="黑体" w:eastAsia="黑体" w:hAnsi="黑体" w:hint="eastAsia"/>
          <w:b/>
          <w:bCs/>
          <w:sz w:val="30"/>
          <w:szCs w:val="30"/>
          <w:lang w:val="en-US" w:eastAsia="zh-CN"/>
        </w:rPr>
        <w:t xml:space="preserve">十一、《项目支出决算表》</w:t>
      </w:r>
      <w:bookmarkEnd w:id="14"/>
    </w:p>
    <w:tbl>
      <w:tblPr>
        <w:tblStyle w:val="普通表格"/>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
      <w:tblGrid>
        <w:gridCol w:w="1131"/>
        <w:gridCol w:w="2838"/>
        <w:gridCol w:w="2053"/>
        <w:gridCol w:w="2053"/>
        <w:gridCol w:w="2053"/>
        <w:gridCol w:w="2053"/>
        <w:gridCol w:w="2053"/>
        <w:gridCol w:w="2054"/>
      </w:tblGrid>
      <w:tr>
        <w:tblPrEx>
          <w:tblW w:w="16288"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0" w:type="dxa"/>
            <w:left w:w="108" w:type="dxa"/>
            <w:bottom w:w="0" w:type="dxa"/>
            <w:right w:w="108" w:type="dxa"/>
          </w:tblCellMar>
          <w:tblLook w:val="0000"/>
        </w:tblPrEx>
        <w:trPr>
          <w:trHeight w:val="567"/>
          <w:jc w:val="center"/>
        </w:trPr>
        <w:tc>
          <w:tcPr>
            <w:tcW w:w="8075" w:type="dxa"/>
            <w:gridSpan w:val="4"/>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r>
              <w:rPr>
                <w:rFonts w:ascii="宋体" w:hAnsi="宋体" w:cs="宋体" w:hint="eastAsia"/>
                <w:i w:val="0"/>
                <w:iCs w:val="0"/>
                <w:color w:val="000000"/>
                <w:kern w:val="0.0"/>
                <w:sz w:val="20"/>
                <w:szCs w:val="20"/>
                <w:u w:val="none"/>
                <w:lang w:val="en-US" w:eastAsia="zh-CN"/>
              </w:rPr>
              <w:t xml:space="preserve">单位</w:t>
            </w:r>
            <w:r>
              <w:rPr>
                <w:rFonts w:ascii="宋体" w:eastAsia="宋体" w:hAnsi="宋体" w:cs="宋体" w:hint="eastAsia"/>
                <w:i w:val="0"/>
                <w:iCs w:val="0"/>
                <w:color w:val="000000"/>
                <w:kern w:val="0.0"/>
                <w:sz w:val="20"/>
                <w:szCs w:val="20"/>
                <w:u w:val="none"/>
                <w:lang w:val="en-US" w:eastAsia="zh-CN"/>
              </w:rPr>
              <w:t xml:space="preserve">：</w:t>
            </w:r>
            <w:r>
              <w:rPr>
                <w:rFonts w:ascii="宋体" w:eastAsia="宋体" w:hAnsi="宋体" w:cs="宋体" w:hint="eastAsia"/>
                <w:sz w:val="20"/>
                <w:szCs w:val="20"/>
                <w:lang w:val="en-US" w:eastAsia="zh-CN"/>
              </w:rPr>
              <w:t xml:space="preserve">华北地质勘查局第四地质大队</w:t>
            </w: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2053" w:type="dxa"/>
            <w:tcBorders>
              <w:top w:val="nil"/>
              <w:left w:val="nil"/>
              <w:bottom w:val="nil"/>
              <w:right w:val="nil"/>
            </w:tcBorders>
            <w:noWrap w:val="1"/>
            <w:vAlign w:val="center"/>
          </w:tcPr>
          <w:p>
            <w:pPr>
              <w:divId w:val="0"/>
              <w:snapToGrid w:val="0"/>
              <w:rPr>
                <w:rFonts w:ascii="宋体" w:eastAsia="宋体" w:hAnsi="宋体" w:cs="宋体" w:hint="eastAsia"/>
                <w:i w:val="0"/>
                <w:iCs w:val="0"/>
                <w:color w:val="000000"/>
                <w:sz w:val="20"/>
                <w:szCs w:val="20"/>
                <w:u w:val="none"/>
              </w:rPr>
            </w:pPr>
          </w:p>
        </w:tc>
        <w:tc>
          <w:tcPr>
            <w:tcW w:w="4107" w:type="dxa"/>
            <w:gridSpan w:val="2"/>
            <w:tcBorders>
              <w:top w:val="nil"/>
              <w:left w:val="nil"/>
              <w:bottom w:val="nil"/>
              <w:right w:val="nil"/>
            </w:tcBorders>
            <w:noWrap w:val="1"/>
            <w:vAlign w:val="center"/>
          </w:tcPr>
          <w:p>
            <w:pPr>
              <w:divId w:val="0"/>
              <w:keepNext w:val="0"/>
              <w:keepLines w:val="0"/>
              <w:widowControl/>
              <w:suppressLineNumbers w:val="0"/>
              <w:snapToGrid w:val="0"/>
              <w:jc w:val="righ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金额单位：元</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科目编码</w:t>
            </w:r>
          </w:p>
        </w:tc>
        <w:tc>
          <w:tcPr>
            <w:tcW w:w="2838" w:type="dxa"/>
            <w:vMerge w:val="restart"/>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科目名称</w:t>
            </w:r>
          </w:p>
        </w:tc>
        <w:tc>
          <w:tcPr>
            <w:tcW w:w="12319" w:type="dxa"/>
            <w:gridSpan w:val="6"/>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本</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年</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支</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出</w:t>
            </w: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131"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838" w:type="dxa"/>
            <w:vMerge/>
            <w:tcBorders>
              <w:top w:val="single" w:sz="4" w:space="0" w:color="000000"/>
              <w:left w:val="single" w:sz="4" w:space="0" w:color="000000"/>
              <w:bottom w:val="single" w:sz="4" w:space="0" w:color="000000"/>
              <w:right w:val="single" w:sz="4" w:space="0" w:color="000000"/>
            </w:tcBorders>
            <w:noWrap w:val="1"/>
            <w:vAlign w:val="center"/>
          </w:tcPr>
          <w:p>
            <w:pPr>
              <w:divId w:val="0"/>
              <w:snapToGrid w:val="0"/>
              <w:jc w:val="center"/>
              <w:rPr>
                <w:rFonts w:ascii="宋体" w:eastAsia="宋体" w:hAnsi="宋体" w:cs="宋体" w:hint="eastAsia"/>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一般公共</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政府性基金</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国有资本</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经营预算</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财政专户</w:t>
            </w:r>
            <w:r>
              <w:rPr>
                <w:rFonts w:ascii="宋体" w:eastAsia="宋体" w:hAnsi="宋体" w:cs="宋体" w:hint="eastAsia"/>
                <w:i w:val="0"/>
                <w:iCs w:val="0"/>
                <w:color w:val="000000"/>
                <w:kern w:val="0.0"/>
                <w:sz w:val="20"/>
                <w:szCs w:val="20"/>
                <w:u w:val="none"/>
                <w:lang w:val="en-US" w:eastAsia="zh-CN"/>
              </w:rPr>
              <w:br/>
            </w:r>
            <w:r>
              <w:rPr>
                <w:rFonts w:ascii="宋体" w:eastAsia="宋体" w:hAnsi="宋体" w:cs="宋体" w:hint="eastAsia"/>
                <w:i w:val="0"/>
                <w:iCs w:val="0"/>
                <w:color w:val="000000"/>
                <w:kern w:val="0.0"/>
                <w:sz w:val="20"/>
                <w:szCs w:val="20"/>
                <w:u w:val="none"/>
                <w:lang w:val="en-US" w:eastAsia="zh-CN"/>
              </w:rPr>
              <w:t xml:space="preserve">管理资金</w:t>
            </w: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单位资金</w:t>
            </w:r>
          </w:p>
        </w:tc>
      </w:tr>
      <w:tr>
        <w:tblPrEx>
          <w:tblW w:w="16288" w:type="dxa"/>
          <w:jc w:val="center"/>
          <w:tblLayout w:type="fixed"/>
          <w:tblCellMar>
            <w:top w:w="0" w:type="dxa"/>
            <w:left w:w="108" w:type="dxa"/>
            <w:bottom w:w="0" w:type="dxa"/>
            <w:right w:w="108" w:type="dxa"/>
          </w:tblCellMar>
          <w:tblLook w:val="0000"/>
        </w:tblPrEx>
        <w:trPr>
          <w:trHeight w:hRule="exact" w:val="397"/>
          <w:jc w:val="center"/>
        </w:trPr>
        <w:tc>
          <w:tcPr>
            <w:tcW w:w="3969" w:type="dxa"/>
            <w:gridSpan w:val="2"/>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snapToGrid w:val="0"/>
              <w:jc w:val="center"/>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合</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 </w:t>
            </w:r>
            <w:r>
              <w:rPr>
                <w:rFonts w:ascii="宋体" w:eastAsia="宋体" w:hAnsi="宋体" w:cs="宋体" w:hint="eastAsia"/>
                <w:i w:val="0"/>
                <w:iCs w:val="0"/>
                <w:color w:val="000000"/>
                <w:kern w:val="0.0"/>
                <w:sz w:val="20"/>
                <w:szCs w:val="20"/>
                <w:u w:val="none"/>
                <w:lang w:val="en-US" w:eastAsia="zh-CN"/>
              </w:rPr>
              <w:t xml:space="preserve">计</w:t>
            </w:r>
          </w:p>
        </w:tc>
        <w:tc>
          <w:tcPr>
            <w:tcW w:w="2053" w:type="dxa"/>
            <w:tcBorders>
              <w:top w:val="single" w:sz="4" w:space="0" w:color="000000"/>
              <w:left w:val="single" w:sz="4" w:space="0" w:color="000000"/>
              <w:bottom w:val="single" w:sz="4" w:space="0" w:color="000000"/>
              <w:right w:val="single" w:sz="4" w:space="0" w:color="000000"/>
            </w:tcBorders>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3"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c>
          <w:tcPr>
            <w:tcW w:w="2054" w:type="dxa"/>
            <w:tcBorders>
              <w:top w:val="single" w:sz="4" w:space="0" w:color="000000"/>
              <w:left w:val="single" w:sz="4" w:space="0" w:color="000000"/>
              <w:bottom w:val="single" w:sz="4" w:space="0" w:color="000000"/>
              <w:right w:val="single" w:sz="4" w:space="0" w:color="000000"/>
            </w:tcBorders>
            <w:noWrap w:val="1"/>
            <w:vAlign w:val="center"/>
          </w:tcPr>
          <w:p>
            <w:pPr>
              <w:divId w:val="0"/>
              <w:keepNext w:val="0"/>
              <w:keepLines w:val="0"/>
              <w:widowControl/>
              <w:suppressLineNumbers w:val="0"/>
              <w:jc w:val="right"/>
              <w:textAlignment w:val="center"/>
              <w:rPr>
                <w:rFonts w:ascii="Times New Roman" w:eastAsia="宋体" w:hAnsi="Times New Roman" w:cs="Times New Roman" w:hint="default"/>
                <w:i w:val="0"/>
                <w:iCs w:val="0"/>
                <w:color w:val="000000"/>
                <w:sz w:val="20"/>
                <w:szCs w:val="20"/>
                <w:u w:val="none"/>
              </w:rPr>
            </w:pPr>
          </w:p>
        </w:tc>
      </w:tr>
      <w:tr>
        <w:tblPrEx>
          <w:tblW w:w="16288" w:type="dxa"/>
          <w:jc w:val="center"/>
          <w:tblLayout w:type="fixed"/>
          <w:tblCellMar>
            <w:top w:w="0" w:type="dxa"/>
            <w:left w:w="108" w:type="dxa"/>
            <w:bottom w:w="0" w:type="dxa"/>
            <w:right w:w="108" w:type="dxa"/>
          </w:tblCellMar>
          <w:tblLook w:val="0000"/>
        </w:tblPrEx>
        <w:trPr>
          <w:trHeight w:val="397"/>
          <w:jc w:val="center"/>
        </w:trPr>
        <w:tc>
          <w:tcPr>
            <w:tcW w:w="1131" w:type="dxa"/>
            <w:tcBorders>
              <w:top w:val="single" w:sz="4" w:space="0" w:color="000000"/>
              <w:left w:val="single" w:sz="4" w:space="0" w:color="000000"/>
              <w:bottom w:val="single" w:sz="4" w:space="0" w:color="000000"/>
              <w:right w:val="single" w:sz="4" w:space="0" w:color="000000"/>
            </w:tcBorders>
            <w:shd w:val="clear" w:color="auto" w:fill="FFFFFF"/>
            <w:noWrap w:val="1"/>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pacing w:val="0"/>
                <w:w w:val="100"/>
                <w:sz w:val="20"/>
                <w:szCs w:val="20"/>
                <w:u w:val="none"/>
                <w:lang w:val="en-US" w:eastAsia="zh-CN"/>
              </w:rPr>
            </w:pPr>
          </w:p>
        </w:tc>
        <w:tc>
          <w:tcPr>
            <w:tcW w:w="2838" w:type="dxa"/>
            <w:tcBorders>
              <w:top w:val="single" w:sz="4" w:space="0" w:color="000000"/>
              <w:left w:val="single" w:sz="4" w:space="0" w:color="000000"/>
              <w:bottom w:val="single" w:sz="4" w:space="0" w:color="000000"/>
              <w:right w:val="single" w:sz="4" w:space="0" w:color="000000"/>
            </w:tcBorders>
            <w:shd w:val="clear" w:color="auto" w:fill="auto"/>
            <w:vAlign w:val="center"/>
          </w:tcPr>
          <w:p>
            <w:pPr>
              <w:divId w:val="0"/>
              <w:keepNext w:val="0"/>
              <w:keepLines w:val="0"/>
              <w:widowControl/>
              <w:suppressLineNumbers w:val="0"/>
              <w:snapToGrid w:val="0"/>
              <w:jc w:val="left"/>
              <w:textAlignment w:val="center"/>
              <w:rPr>
                <w:rFonts w:ascii="宋体" w:eastAsia="宋体" w:hAnsi="宋体" w:cs="宋体" w:hint="default"/>
                <w:i w:val="0"/>
                <w:iCs w:val="0"/>
                <w:color w:val="000000"/>
                <w:spacing w:val="0"/>
                <w:w w:val="100"/>
                <w:sz w:val="20"/>
                <w:szCs w:val="20"/>
                <w:u w:val="none"/>
                <w:lang w:val="en-US" w:eastAsia="zh-CN"/>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3"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c>
          <w:tcPr>
            <w:tcW w:w="2054" w:type="dxa"/>
            <w:tcBorders>
              <w:top w:val="single" w:sz="4" w:space="0" w:color="000000"/>
              <w:left w:val="single" w:sz="4" w:space="0" w:color="000000"/>
              <w:bottom w:val="single" w:sz="4" w:space="0" w:color="000000"/>
              <w:right w:val="single" w:sz="4" w:space="0" w:color="000000"/>
            </w:tcBorders>
            <w:shd w:val="clear" w:color="auto" w:fill="auto"/>
            <w:noWrap w:val="1"/>
            <w:vAlign w:val="center"/>
          </w:tcPr>
          <w:p>
            <w:pPr>
              <w:divId w:val="0"/>
              <w:keepNext w:val="0"/>
              <w:keepLines w:val="0"/>
              <w:widowControl/>
              <w:suppressLineNumbers w:val="0"/>
              <w:snapToGrid w:val="0"/>
              <w:jc w:val="right"/>
              <w:rPr>
                <w:rFonts w:ascii="Times New Roman" w:eastAsia="宋体" w:hAnsi="Times New Roman" w:cs="Times New Roman" w:hint="default"/>
                <w:i w:val="0"/>
                <w:iCs w:val="0"/>
                <w:color w:val="000000"/>
                <w:sz w:val="20"/>
                <w:szCs w:val="20"/>
                <w:u w:val="none"/>
                <w:lang w:val="en-US" w:eastAsia="zh-CN" w:bidi="ar-SA"/>
              </w:rPr>
            </w:pPr>
          </w:p>
        </w:tc>
      </w:tr>
      <w:tr>
        <w:tblPrEx>
          <w:tblW w:w="16288" w:type="dxa"/>
          <w:jc w:val="center"/>
          <w:tblLayout w:type="fixed"/>
          <w:tblCellMar>
            <w:top w:w="0" w:type="dxa"/>
            <w:left w:w="108" w:type="dxa"/>
            <w:bottom w:w="0" w:type="dxa"/>
            <w:right w:w="108" w:type="dxa"/>
          </w:tblCellMar>
          <w:tblLook w:val="0000"/>
        </w:tblPrEx>
        <w:trPr>
          <w:trHeight w:val="567"/>
          <w:jc w:val="center"/>
        </w:trPr>
        <w:tc>
          <w:tcPr>
            <w:tcW w:w="16288" w:type="dxa"/>
            <w:gridSpan w:val="8"/>
            <w:tcBorders>
              <w:top w:val="nil"/>
              <w:left w:val="nil"/>
              <w:bottom w:val="nil"/>
              <w:right w:val="nil"/>
            </w:tcBorders>
            <w:vAlign w:val="center"/>
          </w:tcPr>
          <w:p>
            <w:pPr>
              <w:divId w:val="0"/>
              <w:keepNext w:val="0"/>
              <w:keepLines w:val="0"/>
              <w:widowControl/>
              <w:suppressLineNumbers w:val="0"/>
              <w:snapToGrid w:val="0"/>
              <w:jc w:val="left"/>
              <w:textAlignment w:val="center"/>
              <w:rPr>
                <w:rFonts w:ascii="宋体" w:eastAsia="宋体" w:hAnsi="宋体" w:cs="宋体" w:hint="eastAsia"/>
                <w:i w:val="0"/>
                <w:iCs w:val="0"/>
                <w:color w:val="000000"/>
                <w:sz w:val="20"/>
                <w:szCs w:val="20"/>
                <w:u w:val="none"/>
              </w:rPr>
            </w:pPr>
            <w:r>
              <w:rPr>
                <w:rFonts w:ascii="宋体" w:eastAsia="宋体" w:hAnsi="宋体" w:cs="宋体" w:hint="eastAsia"/>
                <w:i w:val="0"/>
                <w:iCs w:val="0"/>
                <w:color w:val="000000"/>
                <w:kern w:val="0.0"/>
                <w:sz w:val="20"/>
                <w:szCs w:val="20"/>
                <w:u w:val="none"/>
                <w:lang w:val="en-US" w:eastAsia="zh-CN"/>
              </w:rPr>
              <w:t xml:space="preserve">注：本表反映本年度项目支出决算情况，其中支出数包括当年预算资金和以前年度结转资金安排的合计实际支出。</w:t>
            </w:r>
          </w:p>
        </w:tc>
      </w:tr>
    </w:tbl>
    <w:p>
      <w:pPr>
        <w:divId w:val="0"/>
        <w:snapToGrid w:val="0"/>
        <w:ind w:left="-960" w:firstLine="0" w:leftChars="-400" w:firstLineChars="0"/>
        <w:rPr>
          <w:rFonts w:ascii="宋体" w:eastAsia="宋体" w:hAnsi="宋体" w:cs="宋体" w:hint="eastAsia"/>
          <w:i w:val="0"/>
          <w:iCs w:val="0"/>
          <w:color w:val="000000"/>
          <w:kern w:val="0.0"/>
          <w:sz w:val="20"/>
          <w:szCs w:val="20"/>
          <w:highlight w:val="none"/>
          <w:u w:val="none"/>
          <w:lang w:val="en-US" w:eastAsia="zh-CN"/>
        </w:rPr>
        <w:sectPr>
          <w:footerReference w:type="default" r:id="rId7"/>
          <w:pgSz w:w="16838" w:h="11906" w:orient="landscape"/>
          <w:pgMar w:top="1800" w:right="1440" w:bottom="1800" w:left="144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pPr>
      <w:r>
        <w:rPr>
          <w:rFonts w:ascii="宋体" w:eastAsia="宋体" w:hAnsi="宋体" w:cs="宋体" w:hint="eastAsia"/>
          <w:i w:val="0"/>
          <w:iCs w:val="0"/>
          <w:color w:val="000000"/>
          <w:kern w:val="0.0"/>
          <w:sz w:val="20"/>
          <w:szCs w:val="20"/>
          <w:highlight w:val="none"/>
          <w:u w:val="none"/>
          <w:lang w:val="en-US" w:eastAsia="zh-CN"/>
        </w:rPr>
        <w:t xml:space="preserve">华北地质勘查局第四地质大队2025年项目支出决算表为空表。</w:t>
      </w:r>
    </w:p>
    <w:p>
      <w:pPr>
        <w:pStyle w:val="标题1"/>
        <w:wordWrap w:val="0"/>
        <w:spacing w:before="0" w:after="0" w:line="600" w:lineRule="exact"/>
        <w:jc w:val="center"/>
        <w:rPr>
          <w:rFonts w:ascii="方正小标宋简体" w:eastAsia="方正小标宋简体" w:hAnsi="方正小标宋简体" w:cs="方正小标宋简体"/>
          <w:b w:val="0"/>
          <w:sz w:val="44"/>
          <w:szCs w:val="44"/>
          <w:highlight w:val="none"/>
        </w:rPr>
      </w:pPr>
      <w:bookmarkStart w:id="15" w:name="_Toc13918"/>
      <w:r>
        <w:rPr>
          <w:rFonts w:ascii="方正小标宋简体" w:eastAsia="方正小标宋简体" w:hAnsi="方正小标宋简体" w:cs="方正小标宋简体" w:hint="eastAsia"/>
          <w:b w:val="0"/>
          <w:bCs w:val="0"/>
          <w:lang w:val="en-US" w:eastAsia="zh-CN"/>
        </w:rPr>
        <w:t xml:space="preserve">第三部分  2025年度单位决算情况说明</w:t>
      </w:r>
      <w:bookmarkEnd w:id="15"/>
    </w:p>
    <w:p>
      <w:pPr>
        <w:divId w:val="0"/>
        <w:spacing w:line="600" w:lineRule="exact"/>
        <w:ind w:firstLine="600" w:firstLineChars="200"/>
        <w:rPr>
          <w:rFonts w:ascii="黑体" w:eastAsia="黑体" w:hint="eastAsia"/>
          <w:sz w:val="30"/>
          <w:szCs w:val="30"/>
          <w:highlight w:val="none"/>
        </w:rPr>
      </w:pP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6" w:name="_Toc16656"/>
      <w:r>
        <w:rPr>
          <w:rFonts w:ascii="黑体" w:eastAsia="黑体" w:hAnsi="黑体" w:cs="方正仿宋_GB2312" w:hint="eastAsia"/>
          <w:bCs w:val="0"/>
          <w:sz w:val="30"/>
          <w:szCs w:val="30"/>
          <w:lang w:val="en-US" w:eastAsia="zh-CN"/>
        </w:rPr>
        <w:t xml:space="preserve">一、收入支出决算总体情况说明</w:t>
      </w:r>
      <w:bookmarkEnd w:id="1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华北地质勘查局第四地质大队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24,723,865.05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减少4,751,689.72元，下降16.12%</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一般公共预算财政拨款收入24,081,200.00元、其他收入1,498.38元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社会保障和就业支出4,855,000.00元、卫生健康支出1,742,200.00元、自然资源海洋气象等支出18,126,665.05元</w:t>
      </w:r>
      <w:r>
        <w:rPr>
          <w:rFonts w:eastAsia="仿宋_GB2312" w:hint="eastAsia"/>
          <w:sz w:val="30"/>
          <w:szCs w:val="30"/>
          <w:highlight w:val="none"/>
          <w:lang w:val="en-US" w:eastAsia="zh-CN"/>
        </w:rPr>
        <w:t xml:space="preserve">。</w:t>
      </w:r>
    </w:p>
    <w:p>
      <w:pPr>
        <w:pStyle w:val="标题2"/>
        <w:wordWrap w:val="0"/>
        <w:spacing w:before="0" w:after="0" w:line="600" w:lineRule="exact"/>
        <w:ind w:firstLine="600" w:firstLineChars="200"/>
        <w:rPr>
          <w:rFonts w:ascii="黑体" w:eastAsia="黑体" w:hAnsi="黑体" w:cs="方正仿宋_GB2312" w:hint="eastAsia"/>
          <w:bCs w:val="0"/>
          <w:sz w:val="30"/>
          <w:szCs w:val="30"/>
          <w:lang w:val="en-US" w:eastAsia="zh-CN"/>
        </w:rPr>
      </w:pPr>
      <w:bookmarkStart w:id="17" w:name="_Toc20266"/>
      <w:r>
        <w:rPr>
          <w:rFonts w:ascii="黑体" w:eastAsia="黑体" w:hAnsi="黑体" w:cs="方正仿宋_GB2312" w:hint="eastAsia"/>
          <w:bCs w:val="0"/>
          <w:sz w:val="30"/>
          <w:szCs w:val="30"/>
          <w:lang w:val="en-US" w:eastAsia="zh-CN"/>
        </w:rPr>
        <w:t xml:space="preserve">二、收入决算情况说明</w:t>
      </w:r>
      <w:bookmarkEnd w:id="17"/>
    </w:p>
    <w:p>
      <w:pPr>
        <w:divId w:val="0"/>
        <w:spacing w:line="600" w:lineRule="exact"/>
        <w:ind w:firstLine="6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华北地质勘查局第四地质大队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年度本年收入合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24,082,698.38</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减少2,485,689.81元，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财政拨款收入减少</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一般公共预算财政拨款收入24,081,200.00元，占99.99%；其他收入1,498.38元，占0.01%</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8" w:name="_Toc17730"/>
      <w:r>
        <w:rPr>
          <w:rFonts w:ascii="黑体" w:eastAsia="黑体" w:hAnsi="黑体" w:cs="方正仿宋_GB2312" w:hint="eastAsia"/>
          <w:bCs w:val="0"/>
          <w:sz w:val="30"/>
          <w:szCs w:val="30"/>
          <w:highlight w:val="none"/>
          <w:u w:val="none"/>
          <w:lang w:val="en-US" w:eastAsia="zh-CN"/>
        </w:rPr>
        <w:t xml:space="preserve">三、支出决算情况说明</w:t>
      </w:r>
      <w:bookmarkEnd w:id="18"/>
    </w:p>
    <w:p>
      <w:pPr>
        <w:divId w:val="0"/>
        <w:spacing w:line="600" w:lineRule="exact"/>
        <w:ind w:firstLine="600" w:firstLineChars="200"/>
        <w:rPr>
          <w:rFonts w:eastAsia="仿宋_GB2312" w:hint="eastAsia"/>
          <w:sz w:val="30"/>
          <w:szCs w:val="30"/>
          <w:highlight w:val="yellow"/>
          <w:lang w:val="en-US" w:eastAsia="zh-CN"/>
        </w:rPr>
      </w:pPr>
      <w:r>
        <w:rPr>
          <w:rFonts w:eastAsia="仿宋_GB2312" w:hint="eastAsia"/>
          <w:sz w:val="30"/>
          <w:szCs w:val="30"/>
          <w:highlight w:val="none"/>
          <w:lang w:val="en-US" w:eastAsia="zh-CN"/>
        </w:rPr>
        <w:t xml:space="preserve">华北地质勘查局第四地质大队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年度本年支出合</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24,723,865.05</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减少4,751,689.72元，</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财政拨款支出减少</w:t>
      </w:r>
      <w:r>
        <w:rPr>
          <w:rFonts w:eastAsia="仿宋_GB2312" w:hint="eastAsia"/>
          <w:sz w:val="30"/>
          <w:szCs w:val="30"/>
          <w:highlight w:val="none"/>
          <w:lang w:val="en-US" w:eastAsia="zh-CN"/>
        </w:rPr>
        <w:t xml:space="preserve">。其中：</w:t>
      </w:r>
      <w:r>
        <w:rPr>
          <w:rFonts w:eastAsia="仿宋_GB2312" w:hint="eastAsia"/>
          <w:sz w:val="30"/>
          <w:szCs w:val="30"/>
          <w:highlight w:val="none"/>
        </w:rPr>
        <w:t xml:space="preserve">基本支出24,723,865.05元，占100.00%</w:t>
      </w:r>
      <w:r>
        <w:rPr>
          <w:rFonts w:eastAsia="仿宋_GB2312" w:hint="eastAsia"/>
          <w:sz w:val="30"/>
          <w:szCs w:val="30"/>
          <w:highlight w:val="none"/>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19" w:name="_Toc16631"/>
      <w:r>
        <w:rPr>
          <w:rFonts w:ascii="黑体" w:eastAsia="黑体" w:hAnsi="黑体" w:cs="方正仿宋_GB2312" w:hint="eastAsia"/>
          <w:bCs w:val="0"/>
          <w:sz w:val="30"/>
          <w:szCs w:val="30"/>
          <w:highlight w:val="none"/>
          <w:u w:val="none"/>
          <w:lang w:val="en-US" w:eastAsia="zh-CN"/>
        </w:rPr>
        <w:t xml:space="preserve">四、财政拨款收支决算总体情况说明</w:t>
      </w:r>
      <w:bookmarkEnd w:id="19"/>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华北地质勘查局第四地质大队</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年度财政拨款收入、支出决算总</w:t>
      </w:r>
      <w:r>
        <w:rPr>
          <w:rFonts w:eastAsia="仿宋_GB2312" w:hint="eastAsia"/>
          <w:sz w:val="30"/>
          <w:szCs w:val="30"/>
          <w:highlight w:val="none"/>
          <w:lang w:val="en-US" w:eastAsia="zh-CN"/>
        </w:rPr>
        <w:t xml:space="preserve">计</w:t>
      </w:r>
      <w:r>
        <w:rPr>
          <w:rFonts w:eastAsia="仿宋_GB2312" w:hint="eastAsia"/>
          <w:sz w:val="30"/>
          <w:szCs w:val="30"/>
          <w:highlight w:val="none"/>
          <w:lang w:val="en-US" w:eastAsia="zh-CN"/>
        </w:rPr>
        <w:t xml:space="preserve">24,081,200.00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4</w:t>
      </w:r>
      <w:r>
        <w:rPr>
          <w:rFonts w:eastAsia="仿宋_GB2312" w:hint="eastAsia"/>
          <w:sz w:val="30"/>
          <w:szCs w:val="30"/>
          <w:highlight w:val="none"/>
          <w:lang w:val="en-US" w:eastAsia="zh-CN"/>
        </w:rPr>
        <w:t xml:space="preserve">年度相比，财政拨款收、支总计</w:t>
      </w:r>
      <w:r>
        <w:rPr>
          <w:rFonts w:eastAsia="仿宋_GB2312" w:hint="eastAsia"/>
          <w:sz w:val="30"/>
          <w:szCs w:val="30"/>
          <w:highlight w:val="none"/>
          <w:lang w:val="en-US" w:eastAsia="zh-CN"/>
        </w:rPr>
        <w:t xml:space="preserve">各</w:t>
      </w:r>
      <w:r>
        <w:rPr>
          <w:rFonts w:eastAsia="仿宋_GB2312" w:hint="eastAsia"/>
          <w:sz w:val="30"/>
          <w:szCs w:val="30"/>
          <w:highlight w:val="none"/>
          <w:lang w:val="en-US" w:eastAsia="zh-CN"/>
        </w:rPr>
        <w:t xml:space="preserve">减少2,483,900.00元，下降9.35%，</w:t>
      </w:r>
      <w:r>
        <w:rPr>
          <w:rFonts w:eastAsia="仿宋_GB2312" w:hint="eastAsia"/>
          <w:sz w:val="30"/>
          <w:szCs w:val="30"/>
          <w:highlight w:val="none"/>
          <w:lang w:val="en-US" w:eastAsia="zh-CN"/>
        </w:rPr>
        <w:t xml:space="preserve">主要原因</w:t>
      </w:r>
      <w:r>
        <w:rPr>
          <w:rFonts w:eastAsia="仿宋_GB2312" w:hint="eastAsia"/>
          <w:sz w:val="30"/>
          <w:szCs w:val="30"/>
          <w:highlight w:val="none"/>
          <w:lang w:val="en-US" w:eastAsia="zh-CN"/>
        </w:rPr>
        <w:t xml:space="preserve">是</w:t>
      </w:r>
      <w:r>
        <w:rPr>
          <w:rFonts w:eastAsia="仿宋_GB2312" w:hint="eastAsia"/>
          <w:sz w:val="30"/>
          <w:szCs w:val="30"/>
          <w:highlight w:val="none"/>
          <w:lang w:val="en-US" w:eastAsia="zh-CN"/>
        </w:rPr>
        <w:t xml:space="preserve">落实过紧日子，严格按照预算执行</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收入包括：</w:t>
      </w:r>
      <w:r>
        <w:rPr>
          <w:rFonts w:eastAsia="仿宋_GB2312" w:hint="eastAsia"/>
          <w:sz w:val="30"/>
          <w:szCs w:val="30"/>
          <w:highlight w:val="none"/>
          <w:lang w:val="en-US" w:eastAsia="zh-CN"/>
        </w:rPr>
        <w:t xml:space="preserve">一般公共预算财政拨款24,081,200.00元</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支出包括：</w:t>
      </w:r>
      <w:r>
        <w:rPr>
          <w:rFonts w:eastAsia="仿宋_GB2312" w:hint="eastAsia"/>
          <w:sz w:val="30"/>
          <w:szCs w:val="30"/>
          <w:highlight w:val="none"/>
          <w:lang w:val="en-US" w:eastAsia="zh-CN"/>
        </w:rPr>
        <w:t xml:space="preserve">社会保障和就业支出4,855,000.00元、卫生健康支出1,742,200.00元、自然资源海洋气象等支出17,484,000.00元</w:t>
      </w:r>
      <w:r>
        <w:rPr>
          <w:rFonts w:eastAsia="仿宋_GB2312" w:hint="eastAsia"/>
          <w:sz w:val="30"/>
          <w:szCs w:val="30"/>
          <w:highlight w:val="none"/>
          <w:lang w:val="en-US" w:eastAsia="zh-CN"/>
        </w:rPr>
        <w:t xml:space="preserve">。</w:t>
      </w:r>
    </w:p>
    <w:p>
      <w:pPr>
        <w:pStyle w:val="标题2"/>
        <w:pageBreakBefore w:val="0"/>
        <w:kinsoku/>
        <w:wordWrap/>
        <w:overflowPunct/>
        <w:topLinePunct w:val="0"/>
        <w:autoSpaceDE/>
        <w:autoSpaceDN/>
        <w:bidi w:val="0"/>
        <w:snapToGrid/>
        <w:spacing w:before="0" w:after="0" w:line="600" w:lineRule="exact"/>
        <w:ind w:firstLine="600" w:firstLineChars="200"/>
        <w:outlineLvl w:val="0"/>
        <w:rPr>
          <w:rFonts w:ascii="黑体" w:eastAsia="黑体" w:hAnsi="黑体" w:cs="方正仿宋_GB2312" w:hint="eastAsia"/>
          <w:bCs w:val="0"/>
          <w:sz w:val="30"/>
          <w:szCs w:val="30"/>
          <w:highlight w:val="none"/>
          <w:u w:val="none"/>
          <w:lang w:val="en-US" w:eastAsia="zh-CN"/>
        </w:rPr>
      </w:pPr>
      <w:bookmarkStart w:id="20" w:name="_Toc13902"/>
      <w:r>
        <w:rPr>
          <w:rFonts w:ascii="黑体" w:eastAsia="黑体" w:hAnsi="黑体" w:cs="方正仿宋_GB2312" w:hint="eastAsia"/>
          <w:bCs w:val="0"/>
          <w:sz w:val="30"/>
          <w:szCs w:val="30"/>
          <w:highlight w:val="none"/>
          <w:u w:val="none"/>
          <w:lang w:val="en-US" w:eastAsia="zh-CN"/>
        </w:rPr>
        <w:t xml:space="preserve">五、一般公共预算财政拨款支出决算情况说明</w:t>
      </w:r>
      <w:bookmarkEnd w:id="20"/>
    </w:p>
    <w:p>
      <w:pPr>
        <w:divId w:val="0"/>
        <w:spacing w:line="600" w:lineRule="exact"/>
        <w:ind w:left="480" w:left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（一）总体情况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华北地质勘查局第四地质大队2025年度一般公共预算财政拨款支出合计24,081,200.00元，占本年支出合计的97.40%。与2024年度相比，一般公共预算财政拨款支出</w:t>
      </w:r>
      <w:r>
        <w:rPr>
          <w:rFonts w:eastAsia="仿宋_GB2312" w:hint="eastAsia"/>
          <w:sz w:val="30"/>
          <w:szCs w:val="30"/>
          <w:highlight w:val="none"/>
          <w:lang w:val="en-US" w:eastAsia="zh-CN"/>
        </w:rPr>
        <w:t xml:space="preserve">减少2,483,900.00元</w:t>
      </w:r>
      <w:r>
        <w:rPr>
          <w:rFonts w:eastAsia="仿宋_GB2312" w:hint="eastAsia"/>
          <w:sz w:val="30"/>
          <w:szCs w:val="30"/>
          <w:highlight w:val="none"/>
          <w:lang w:val="en-US" w:eastAsia="zh-CN"/>
        </w:rPr>
        <w:t xml:space="preserve">，下降9.35%</w:t>
      </w:r>
      <w:r>
        <w:rPr>
          <w:rFonts w:eastAsia="仿宋_GB2312" w:hint="eastAsia"/>
          <w:sz w:val="30"/>
          <w:szCs w:val="30"/>
          <w:highlight w:val="none"/>
          <w:lang w:val="en-US" w:eastAsia="zh-CN"/>
        </w:rPr>
        <w:t xml:space="preserve">，主要原因是落实过紧日子，严格按照预算执行。</w:t>
      </w:r>
    </w:p>
    <w:p>
      <w:pPr>
        <w:divId w:val="0"/>
        <w:spacing w:line="600" w:lineRule="exact"/>
        <w:ind w:firstLine="600" w:firstLineChars="200"/>
        <w:rPr>
          <w:rFonts w:ascii="楷体" w:eastAsia="楷体" w:hAnsi="楷体" w:cs="方正仿宋_GB2312" w:hint="eastAsia"/>
          <w:b/>
          <w:sz w:val="30"/>
          <w:szCs w:val="30"/>
          <w:highlight w:val="none"/>
          <w:lang w:val="en-US" w:eastAsia="zh-CN"/>
        </w:rPr>
      </w:pPr>
      <w:r>
        <w:rPr>
          <w:rFonts w:ascii="楷体" w:eastAsia="楷体" w:hAnsi="楷体" w:cs="方正仿宋_GB2312" w:hint="eastAsia"/>
          <w:b/>
          <w:sz w:val="30"/>
          <w:szCs w:val="30"/>
          <w:lang w:val="en-US" w:eastAsia="zh-CN"/>
        </w:rPr>
        <w:t xml:space="preserve">（二）支出结构情况</w:t>
      </w:r>
    </w:p>
    <w:p>
      <w:pPr>
        <w:divId w:val="0"/>
        <w:spacing w:line="600" w:lineRule="exact"/>
        <w:ind w:firstLine="600" w:firstLineChars="200"/>
        <w:rPr>
          <w:rFonts w:eastAsia="仿宋_GB2312"/>
          <w:sz w:val="30"/>
          <w:szCs w:val="30"/>
          <w:highlight w:val="none"/>
        </w:rPr>
      </w:pPr>
      <w:r>
        <w:rPr>
          <w:rFonts w:eastAsia="仿宋_GB2312" w:hint="eastAsia"/>
          <w:sz w:val="30"/>
          <w:szCs w:val="30"/>
          <w:highlight w:val="none"/>
          <w:lang w:val="en-US" w:eastAsia="zh-CN"/>
        </w:rPr>
        <w:t xml:space="preserve">2025年度一般公共预算财政拨款支出24,081,200.00元，主要用于以下方面：</w:t>
      </w:r>
      <w:r>
        <w:rPr>
          <w:rFonts w:eastAsia="仿宋_GB2312" w:hint="eastAsia"/>
          <w:sz w:val="30"/>
          <w:szCs w:val="30"/>
          <w:highlight w:val="none"/>
        </w:rPr>
        <w:t xml:space="preserve">社会保障和就业支出（类）支出4,855,000.00元，占20.16%，卫生健康支出（类）支出1,742,200.00元，占7.23%，自然资源海洋气象等支出（类）支出17,484,000.00元，占72.61%</w:t>
      </w:r>
      <w:r>
        <w:rPr>
          <w:rFonts w:eastAsia="仿宋_GB2312" w:hint="eastAsia"/>
          <w:sz w:val="30"/>
          <w:szCs w:val="30"/>
          <w:highlight w:val="none"/>
        </w:rPr>
        <w:t xml:space="preserve">。</w:t>
      </w:r>
    </w:p>
    <w:p>
      <w:pPr>
        <w:divId w:val="0"/>
        <w:spacing w:line="600" w:lineRule="exact"/>
        <w:ind w:firstLine="600" w:firstLineChars="200"/>
        <w:rPr>
          <w:rFonts w:ascii="楷体" w:eastAsia="楷体" w:hAnsi="楷体" w:cs="方正仿宋_GB2312" w:hint="eastAsia"/>
          <w:b/>
          <w:sz w:val="30"/>
          <w:szCs w:val="30"/>
          <w:highlight w:val="none"/>
        </w:rPr>
      </w:pPr>
      <w:r>
        <w:rPr>
          <w:rFonts w:ascii="楷体" w:eastAsia="楷体" w:hAnsi="楷体" w:cs="方正仿宋_GB2312" w:hint="eastAsia"/>
          <w:b/>
          <w:sz w:val="30"/>
          <w:szCs w:val="30"/>
          <w:lang w:val="en-US" w:eastAsia="zh-CN"/>
        </w:rPr>
        <w:t xml:space="preserve">（三）具体情况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2025年度一般公共预算财政拨款支出年初预算为23,057,000.00元，支出决算为24,081,200.00元</w:t>
      </w:r>
      <w:r>
        <w:rPr>
          <w:rFonts w:eastAsia="仿宋_GB2312" w:hint="eastAsia"/>
          <w:sz w:val="30"/>
          <w:szCs w:val="30"/>
          <w:highlight w:val="none"/>
          <w:lang w:val="en-US" w:eastAsia="zh-CN"/>
        </w:rPr>
        <w:t xml:space="preserve">，完成年初预算的104.44%</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社会保障和就业支出（类）行政事业单位养老支出（款）机关事业单位基本养老保险缴费支出（项）年初预算为2,837,000.00元，支出决算为3,237,000.00元，完成年初预算的114.10%，决算数大于年初预算数的主要原因是：本年度因人员增减变动导致养老保险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社会保障和就业支出（类）行政事业单位养老支出（款）机关事业单位职业年金缴费支出（项）年初预算为1,418,000.00元，支出决算为1,618,000.00元，完成年初预算的114.10%，决算数大于年初预算数的主要原因是：本年度因人员增减变动导致职业年金缴费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卫生健康支出（类）行政事业单位医疗（款）事业单位医疗（项）年初预算为951,000.00元，支出决算为1,213,200.00元，完成年初预算的127.57%，决算数大于年初预算数的主要原因是：本年度因追加离休干部医药费导致事业单位医疗较预算有所变化。。</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4.卫生健康支出（类）行政事业单位医疗（款）其他行政事业单位医疗支出（项）年初预算为529,000.00元，支出决算为529,000.00元，完成年初预算的100.00%，决算数与年初预算数持平的主要原因是：厉行节约，严格按照预算执行。</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5.自然资源海洋气象等支出（类）自然资源事务（款）事业运行（项）年初预算为17,322,000.00元，支出决算为17,484,000.00元，完成年初预算的100.94%，决算数大于年初预算数的主要原因是：职务职级调整导致人员经费较年初预算稍有增长。</w:t>
      </w:r>
    </w:p>
    <w:p>
      <w:pPr>
        <w:pStyle w:val="标题2"/>
        <w:spacing w:before="0" w:after="0" w:line="600" w:lineRule="exact"/>
        <w:ind w:firstLine="600" w:firstLineChars="200"/>
        <w:rPr>
          <w:rFonts w:ascii="黑体" w:eastAsia="黑体" w:hAnsi="黑体"/>
          <w:b w:val="0"/>
          <w:sz w:val="30"/>
          <w:szCs w:val="30"/>
          <w:highlight w:val="none"/>
        </w:rPr>
      </w:pPr>
      <w:bookmarkStart w:id="21" w:name="_Toc21908"/>
      <w:r>
        <w:rPr>
          <w:rFonts w:ascii="黑体" w:eastAsia="黑体" w:hAnsi="黑体" w:cs="方正仿宋_GB2312" w:hint="eastAsia"/>
          <w:bCs w:val="0"/>
          <w:sz w:val="30"/>
          <w:szCs w:val="30"/>
          <w:highlight w:val="none"/>
          <w:u w:val="none"/>
          <w:lang w:val="en-US" w:eastAsia="zh-CN"/>
        </w:rPr>
        <w:t xml:space="preserve">六、一般公共预算财政拨款基本支出决算情况说明</w:t>
      </w:r>
      <w:bookmarkEnd w:id="21"/>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华北地质勘查局第四地质大队2025年度一般公共预算财政拨款基本支出合计24,081,200.00元，与2024年度相比</w:t>
      </w:r>
      <w:r>
        <w:rPr>
          <w:rFonts w:eastAsia="仿宋_GB2312" w:hint="eastAsia"/>
          <w:sz w:val="30"/>
          <w:szCs w:val="30"/>
          <w:highlight w:val="none"/>
          <w:lang w:val="en-US" w:eastAsia="zh-CN"/>
        </w:rPr>
        <w:t xml:space="preserve">减少2,483,900.00元，</w:t>
      </w:r>
      <w:r>
        <w:rPr>
          <w:rFonts w:eastAsia="仿宋_GB2312" w:hint="eastAsia"/>
          <w:sz w:val="30"/>
          <w:szCs w:val="30"/>
          <w:highlight w:val="none"/>
          <w:lang w:val="en-US" w:eastAsia="zh-CN"/>
        </w:rPr>
        <w:t xml:space="preserve">主要原因是人员变动导致人员经费支出减少。</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人员经费24,081,200.00元，主要包括</w:t>
      </w:r>
      <w:r>
        <w:rPr>
          <w:rFonts w:eastAsia="仿宋_GB2312" w:hint="eastAsia"/>
          <w:sz w:val="30"/>
          <w:szCs w:val="30"/>
          <w:highlight w:val="none"/>
          <w:lang w:val="en-US" w:eastAsia="zh-CN"/>
        </w:rPr>
        <w:t xml:space="preserve">基本工资、津贴补贴、绩效工资、机关事业单位基本养老保险缴费、职业年金缴费、职工基本医疗保险缴费、其他社会保障缴费、住房公积金、医疗费、离休费、退休费、医疗费补助</w:t>
      </w:r>
      <w:r>
        <w:rPr>
          <w:rFonts w:eastAsia="仿宋_GB2312" w:hint="eastAsia"/>
          <w:sz w:val="30"/>
          <w:szCs w:val="30"/>
          <w:highlight w:val="none"/>
          <w:lang w:val="en-US" w:eastAsia="zh-CN"/>
        </w:rPr>
        <w:t xml:space="preserve">。</w:t>
      </w:r>
    </w:p>
    <w:p>
      <w:pPr>
        <w:pStyle w:val="标题2"/>
        <w:spacing w:before="0" w:after="0" w:line="600" w:lineRule="exact"/>
        <w:ind w:firstLine="600" w:firstLineChars="200"/>
        <w:rPr>
          <w:rFonts w:ascii="楷体" w:eastAsia="楷体" w:hAnsi="楷体" w:cs="方正仿宋_GB2312" w:hint="eastAsia"/>
          <w:b w:val="0"/>
          <w:sz w:val="30"/>
          <w:szCs w:val="30"/>
          <w:highlight w:val="none"/>
        </w:rPr>
      </w:pPr>
      <w:bookmarkStart w:id="22" w:name="_Toc4044"/>
      <w:r>
        <w:rPr>
          <w:rFonts w:ascii="黑体" w:eastAsia="黑体" w:hAnsi="黑体" w:cs="方正仿宋_GB2312" w:hint="eastAsia"/>
          <w:bCs w:val="0"/>
          <w:sz w:val="30"/>
          <w:szCs w:val="30"/>
          <w:highlight w:val="none"/>
          <w:u w:val="none"/>
          <w:lang w:val="en-US" w:eastAsia="zh-CN"/>
        </w:rPr>
        <w:t xml:space="preserve">七、政府性基金预算财政拨款收支决算情况说明</w:t>
      </w:r>
      <w:bookmarkEnd w:id="22"/>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华北地质勘查局第四地质大队2025年度无政府性基金预算财政拨款收入、支出和结转结余。</w:t>
      </w:r>
    </w:p>
    <w:p>
      <w:pPr>
        <w:pStyle w:val="标题2"/>
        <w:spacing w:before="0" w:after="0" w:line="600" w:lineRule="exact"/>
        <w:ind w:firstLine="600" w:firstLineChars="200"/>
        <w:rPr>
          <w:rFonts w:eastAsia="黑体" w:hint="eastAsia"/>
          <w:b w:val="0"/>
          <w:sz w:val="30"/>
          <w:szCs w:val="30"/>
          <w:highlight w:val="none"/>
        </w:rPr>
      </w:pPr>
      <w:bookmarkStart w:id="23" w:name="_Toc5943"/>
      <w:r>
        <w:rPr>
          <w:rFonts w:ascii="黑体" w:eastAsia="黑体" w:hAnsi="黑体" w:cs="方正仿宋_GB2312" w:hint="eastAsia"/>
          <w:bCs w:val="0"/>
          <w:sz w:val="30"/>
          <w:szCs w:val="30"/>
          <w:highlight w:val="none"/>
          <w:u w:val="none"/>
          <w:lang w:val="en-US" w:eastAsia="zh-CN"/>
        </w:rPr>
        <w:t xml:space="preserve">八、国有资本经营预算财政拨款收支决算情况说明</w:t>
      </w:r>
      <w:bookmarkEnd w:id="23"/>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华北地质勘查局第四地质大队2025年度无国有资本经营预算财政拨款收入、支出和结转结余。</w:t>
      </w:r>
    </w:p>
    <w:p>
      <w:pPr>
        <w:pStyle w:val="标题2"/>
        <w:spacing w:before="0" w:after="0" w:line="600" w:lineRule="exact"/>
        <w:ind w:firstLine="600" w:firstLineChars="200"/>
        <w:rPr>
          <w:rFonts w:ascii="黑体" w:eastAsia="黑体" w:hAnsi="黑体"/>
          <w:b w:val="0"/>
          <w:sz w:val="30"/>
          <w:szCs w:val="30"/>
          <w:highlight w:val="none"/>
        </w:rPr>
      </w:pPr>
      <w:bookmarkStart w:id="24" w:name="_Toc9262"/>
      <w:r>
        <w:rPr>
          <w:rFonts w:ascii="黑体" w:eastAsia="黑体" w:hAnsi="黑体" w:cs="方正仿宋_GB2312" w:hint="eastAsia"/>
          <w:bCs w:val="0"/>
          <w:sz w:val="30"/>
          <w:szCs w:val="30"/>
          <w:highlight w:val="none"/>
          <w:u w:val="none"/>
          <w:lang w:val="en-US" w:eastAsia="zh-CN"/>
        </w:rPr>
        <w:t xml:space="preserve">九、财政拨款“三公”经费支出决算情况说明</w:t>
      </w:r>
      <w:bookmarkEnd w:id="24"/>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（一）总体情况</w:t>
      </w:r>
    </w:p>
    <w:p>
      <w:pPr>
        <w:divId w:val="0"/>
        <w:spacing w:line="600" w:lineRule="exact"/>
        <w:ind w:firstLine="600"/>
        <w:rPr>
          <w:rFonts w:eastAsia="仿宋_GB2312" w:hint="default"/>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年财政拨</w:t>
      </w:r>
      <w:r>
        <w:rPr>
          <w:rFonts w:eastAsia="仿宋_GB2312" w:hint="eastAsia"/>
          <w:sz w:val="30"/>
          <w:szCs w:val="30"/>
          <w:highlight w:val="none"/>
          <w:lang w:val="en-US" w:eastAsia="zh-CN"/>
        </w:rPr>
        <w:t xml:space="preserve">款</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w:t>
      </w:r>
      <w:r>
        <w:rPr>
          <w:rFonts w:eastAsia="仿宋_GB2312" w:hint="eastAsia"/>
          <w:sz w:val="30"/>
          <w:szCs w:val="30"/>
          <w:highlight w:val="none"/>
          <w:lang w:val="en-US" w:eastAsia="zh-CN"/>
        </w:rPr>
        <w:t xml:space="preserve">与</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决算数与预算数持平的主要原因是本年度未用财政拨款经费列支三公经费；</w:t>
      </w:r>
      <w:r>
        <w:rPr>
          <w:rFonts w:eastAsia="仿宋_GB2312" w:hint="eastAsia"/>
          <w:sz w:val="30"/>
          <w:szCs w:val="30"/>
          <w:highlight w:val="none"/>
          <w:lang w:val="en-US" w:eastAsia="zh-CN"/>
        </w:rPr>
        <w:t xml:space="preserve">决算数较上年持平的主要原因是本年度未用财政拨款经费列支三公经费。</w:t>
      </w:r>
    </w:p>
    <w:p>
      <w:pPr>
        <w:divId w:val="0"/>
        <w:spacing w:line="600" w:lineRule="exact"/>
        <w:ind w:firstLine="600" w:firstLineChars="200"/>
        <w:rPr>
          <w:rFonts w:ascii="楷体" w:eastAsia="楷体" w:hAnsi="楷体" w:cs="楷体" w:hint="eastAsia"/>
          <w:b/>
          <w:bCs/>
          <w:sz w:val="30"/>
          <w:szCs w:val="30"/>
          <w:highlight w:val="none"/>
          <w:lang w:eastAsia="zh-CN"/>
        </w:rPr>
      </w:pPr>
      <w:r>
        <w:rPr>
          <w:rFonts w:ascii="楷体" w:eastAsia="楷体" w:hAnsi="楷体" w:cs="楷体" w:hint="eastAsia"/>
          <w:b/>
          <w:bCs/>
          <w:sz w:val="30"/>
          <w:szCs w:val="30"/>
          <w:highlight w:val="none"/>
          <w:lang w:eastAsia="zh-CN"/>
        </w:rPr>
        <w:t xml:space="preserve">（二）具体情况</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因公出国（境）费预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决算数与预算数持平的主要原因是本年度未用财政拨款经费列支因公出国（境）费；</w:t>
      </w:r>
      <w:r>
        <w:rPr>
          <w:rFonts w:eastAsia="仿宋_GB2312" w:hint="eastAsia"/>
          <w:sz w:val="30"/>
          <w:szCs w:val="30"/>
          <w:highlight w:val="none"/>
          <w:lang w:val="en-US" w:eastAsia="zh-CN"/>
        </w:rPr>
        <w:t xml:space="preserve">决算数较上年持平的主要原因是本年度未用财政拨款经费列支因公出国（境）费。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年本单位组织的出国团</w:t>
      </w:r>
      <w:r>
        <w:rPr>
          <w:rFonts w:eastAsia="仿宋_GB2312" w:hint="eastAsia"/>
          <w:sz w:val="30"/>
          <w:szCs w:val="30"/>
          <w:highlight w:val="none"/>
          <w:lang w:val="en-US" w:eastAsia="zh-CN"/>
        </w:rPr>
        <w:t xml:space="preserve">组</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个，出</w:t>
      </w:r>
      <w:r>
        <w:rPr>
          <w:rFonts w:eastAsia="仿宋_GB2312" w:hint="eastAsia"/>
          <w:sz w:val="30"/>
          <w:szCs w:val="30"/>
          <w:highlight w:val="none"/>
          <w:lang w:val="en-US" w:eastAsia="zh-CN"/>
        </w:rPr>
        <w:t xml:space="preserve">国</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公务用车购置及运行维护费预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决算数与预算数持平的主要原因是本年度未用财政拨款经费列支公务用车购置及运行维护费；</w:t>
      </w:r>
      <w:r>
        <w:rPr>
          <w:rFonts w:eastAsia="仿宋_GB2312" w:hint="eastAsia"/>
          <w:sz w:val="30"/>
          <w:szCs w:val="30"/>
          <w:highlight w:val="none"/>
          <w:lang w:val="en-US" w:eastAsia="zh-CN"/>
        </w:rPr>
        <w:t xml:space="preserve">决算数较上年持平的主要原因是本年度未用财政拨款经费列支公务用车购置及运行维护费。</w:t>
      </w:r>
      <w:r>
        <w:rPr>
          <w:rFonts w:eastAsia="仿宋_GB2312" w:hint="eastAsia"/>
          <w:sz w:val="30"/>
          <w:szCs w:val="30"/>
          <w:highlight w:val="none"/>
          <w:lang w:val="en-US" w:eastAsia="zh-CN"/>
        </w:rPr>
        <w:t xml:space="preserve">其中：</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公务用车运行维护费预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决算数与预算数持平的主要原因是本年度未用财政拨款经费列支公务用车运行维护费；</w:t>
      </w:r>
      <w:r>
        <w:rPr>
          <w:rFonts w:eastAsia="仿宋_GB2312" w:hint="eastAsia"/>
          <w:sz w:val="30"/>
          <w:szCs w:val="30"/>
          <w:highlight w:val="none"/>
          <w:lang w:val="en-US" w:eastAsia="zh-CN"/>
        </w:rPr>
        <w:t xml:space="preserve">决算数较上年持平的主要原因是本年度未用财政拨款经费列支公务用车运行维护费。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w:t>
      </w:r>
      <w:r>
        <w:rPr>
          <w:rFonts w:eastAsia="仿宋_GB2312" w:hint="eastAsia"/>
          <w:sz w:val="30"/>
          <w:szCs w:val="30"/>
          <w:highlight w:val="none"/>
          <w:lang w:val="en-US" w:eastAsia="zh-CN"/>
        </w:rPr>
        <w:t xml:space="preserve">至</w:t>
      </w: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月</w:t>
      </w: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日，使用财政拨款开支运行维护费的公务用车保有量</w:t>
      </w:r>
      <w:r>
        <w:rPr>
          <w:rFonts w:eastAsia="仿宋_GB2312" w:hint="eastAsia"/>
          <w:sz w:val="30"/>
          <w:szCs w:val="30"/>
          <w:highlight w:val="none"/>
          <w:lang w:val="en-US" w:eastAsia="zh-CN"/>
        </w:rPr>
        <w:t xml:space="preserve">为</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r>
        <w:rPr>
          <w:rFonts w:eastAsia="仿宋_GB2312" w:hint="eastAsia"/>
          <w:sz w:val="30"/>
          <w:szCs w:val="30"/>
          <w:highlight w:val="none"/>
          <w:lang w:val="en-US" w:eastAsia="zh-CN"/>
        </w:rPr>
        <w:t xml:space="preserve">。</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公务用车购置费预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决算数与预算数持平的主要原因是本年度未用财政拨款经费列支公务用车购置费；</w:t>
      </w:r>
      <w:r>
        <w:rPr>
          <w:rFonts w:eastAsia="仿宋_GB2312" w:hint="eastAsia"/>
          <w:sz w:val="30"/>
          <w:szCs w:val="30"/>
          <w:highlight w:val="none"/>
          <w:lang w:val="en-US" w:eastAsia="zh-CN"/>
        </w:rPr>
        <w:t xml:space="preserve">决算数较上年持平的主要原因是本年度未用财政拨款经费列支公务用车购置费。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年购置公务用</w:t>
      </w:r>
      <w:r>
        <w:rPr>
          <w:rFonts w:eastAsia="仿宋_GB2312" w:hint="eastAsia"/>
          <w:sz w:val="30"/>
          <w:szCs w:val="30"/>
          <w:highlight w:val="none"/>
          <w:lang w:val="en-US" w:eastAsia="zh-CN"/>
        </w:rPr>
        <w:t xml:space="preserve">车</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辆。</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公务接待费预</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元，支出决</w:t>
      </w:r>
      <w:r>
        <w:rPr>
          <w:rFonts w:eastAsia="仿宋_GB2312" w:hint="eastAsia"/>
          <w:sz w:val="30"/>
          <w:szCs w:val="30"/>
          <w:highlight w:val="none"/>
          <w:lang w:val="en-US" w:eastAsia="zh-CN"/>
        </w:rPr>
        <w:t xml:space="preserve">算</w:t>
      </w:r>
      <w:r>
        <w:rPr>
          <w:rFonts w:eastAsia="仿宋_GB2312" w:hint="eastAsia"/>
          <w:sz w:val="30"/>
          <w:szCs w:val="30"/>
          <w:highlight w:val="none"/>
          <w:lang w:val="en-US" w:eastAsia="zh-CN"/>
        </w:rPr>
        <w:t xml:space="preserve">0.00</w:t>
      </w:r>
      <w:r>
        <w:rPr>
          <w:rFonts w:eastAsia="仿宋_GB2312" w:hint="eastAsia"/>
          <w:sz w:val="30"/>
          <w:szCs w:val="30"/>
          <w:highlight w:val="none"/>
          <w:lang w:val="en-US" w:eastAsia="zh-CN"/>
        </w:rPr>
        <w:t xml:space="preserve">元，与预算相</w:t>
      </w:r>
      <w:r>
        <w:rPr>
          <w:rFonts w:eastAsia="仿宋_GB2312" w:hint="eastAsia"/>
          <w:sz w:val="30"/>
          <w:szCs w:val="30"/>
          <w:highlight w:val="none"/>
          <w:lang w:val="en-US" w:eastAsia="zh-CN"/>
        </w:rPr>
        <w:t xml:space="preserve">比</w:t>
      </w:r>
      <w:r>
        <w:rPr>
          <w:rFonts w:eastAsia="仿宋_GB2312" w:hint="eastAsia"/>
          <w:sz w:val="30"/>
          <w:szCs w:val="30"/>
          <w:highlight w:val="none"/>
          <w:lang w:val="en-US" w:eastAsia="zh-CN"/>
        </w:rPr>
        <w:t xml:space="preserve">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支出决算较上年持平</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决算数与预算数持平的主要原因是本年度未用财政拨款经费列支公务接待费；</w:t>
      </w:r>
      <w:r>
        <w:rPr>
          <w:rFonts w:eastAsia="仿宋_GB2312" w:hint="eastAsia"/>
          <w:sz w:val="30"/>
          <w:szCs w:val="30"/>
          <w:highlight w:val="none"/>
          <w:lang w:val="en-US" w:eastAsia="zh-CN"/>
        </w:rPr>
        <w:t xml:space="preserve">决算数较上年持平的主要原因是本年度未用财政拨款经费列支公务接待费。</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202</w:t>
      </w:r>
      <w:r>
        <w:rPr>
          <w:rFonts w:eastAsia="仿宋_GB2312" w:hint="eastAsia"/>
          <w:sz w:val="30"/>
          <w:szCs w:val="30"/>
          <w:highlight w:val="none"/>
          <w:lang w:val="en-US" w:eastAsia="zh-CN"/>
        </w:rPr>
        <w:t xml:space="preserve">5</w:t>
      </w:r>
      <w:r>
        <w:rPr>
          <w:rFonts w:eastAsia="仿宋_GB2312" w:hint="eastAsia"/>
          <w:sz w:val="30"/>
          <w:szCs w:val="30"/>
          <w:highlight w:val="none"/>
          <w:lang w:val="en-US" w:eastAsia="zh-CN"/>
        </w:rPr>
        <w:t xml:space="preserve">年本单位国内公务接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人次；其中，外事接</w:t>
      </w:r>
      <w:r>
        <w:rPr>
          <w:rFonts w:eastAsia="仿宋_GB2312" w:hint="eastAsia"/>
          <w:sz w:val="30"/>
          <w:szCs w:val="30"/>
          <w:highlight w:val="none"/>
          <w:lang w:val="en-US" w:eastAsia="zh-CN"/>
        </w:rPr>
        <w:t xml:space="preserve">待</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批次</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0</w:t>
      </w:r>
      <w:r>
        <w:rPr>
          <w:rFonts w:eastAsia="仿宋_GB2312" w:hint="eastAsia"/>
          <w:sz w:val="30"/>
          <w:szCs w:val="30"/>
          <w:highlight w:val="none"/>
          <w:lang w:val="en-US" w:eastAsia="zh-CN"/>
        </w:rPr>
        <w:t xml:space="preserve">人次。</w:t>
      </w:r>
    </w:p>
    <w:p>
      <w:pPr>
        <w:pStyle w:val="标题2"/>
        <w:spacing w:before="0" w:after="0" w:line="600" w:lineRule="exact"/>
        <w:ind w:firstLine="600" w:firstLineChars="200"/>
        <w:rPr>
          <w:rFonts w:ascii="黑体" w:eastAsia="黑体" w:hAnsi="黑体"/>
          <w:b w:val="0"/>
          <w:sz w:val="30"/>
          <w:szCs w:val="30"/>
          <w:highlight w:val="none"/>
        </w:rPr>
      </w:pPr>
      <w:bookmarkStart w:id="25" w:name="_Toc850"/>
      <w:r>
        <w:rPr>
          <w:rFonts w:ascii="黑体" w:eastAsia="黑体" w:hAnsi="黑体" w:cs="方正仿宋_GB2312" w:hint="eastAsia"/>
          <w:bCs w:val="0"/>
          <w:sz w:val="30"/>
          <w:szCs w:val="30"/>
          <w:highlight w:val="none"/>
          <w:u w:val="none"/>
          <w:lang w:val="en-US" w:eastAsia="zh-CN"/>
        </w:rPr>
        <w:t xml:space="preserve">十、机关运行经费支出情况说明</w:t>
      </w:r>
      <w:bookmarkEnd w:id="25"/>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华北地质勘查局第四地质大队2025年度无机关运行经费。</w:t>
      </w:r>
    </w:p>
    <w:p>
      <w:pPr>
        <w:pStyle w:val="标题2"/>
        <w:spacing w:before="0" w:after="0" w:line="600" w:lineRule="exact"/>
        <w:ind w:firstLine="600" w:firstLineChars="200"/>
        <w:rPr>
          <w:rFonts w:ascii="黑体" w:eastAsia="黑体" w:hAnsi="黑体" w:cs="方正仿宋_GB2312" w:hint="eastAsia"/>
          <w:bCs w:val="0"/>
          <w:sz w:val="30"/>
          <w:szCs w:val="30"/>
          <w:highlight w:val="none"/>
          <w:u w:val="none"/>
          <w:lang w:val="en-US" w:eastAsia="zh-CN"/>
        </w:rPr>
      </w:pPr>
      <w:bookmarkStart w:id="26" w:name="_Toc17600"/>
      <w:r>
        <w:rPr>
          <w:rFonts w:ascii="黑体" w:eastAsia="黑体" w:hAnsi="黑体" w:cs="方正仿宋_GB2312" w:hint="eastAsia"/>
          <w:bCs w:val="0"/>
          <w:sz w:val="30"/>
          <w:szCs w:val="30"/>
          <w:highlight w:val="none"/>
          <w:u w:val="none"/>
          <w:lang w:val="en-US" w:eastAsia="zh-CN"/>
        </w:rPr>
        <w:t xml:space="preserve">十一、政府采购支出情况说明</w:t>
      </w:r>
      <w:bookmarkEnd w:id="26"/>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华北地质勘查局第四地质大队2025年度无政府采购支出。</w:t>
      </w:r>
    </w:p>
    <w:p>
      <w:pPr>
        <w:pStyle w:val="标题2"/>
        <w:spacing w:before="0" w:after="0" w:line="600" w:lineRule="exact"/>
        <w:ind w:firstLine="600" w:firstLineChars="200"/>
        <w:rPr>
          <w:rFonts w:ascii="黑体" w:eastAsia="黑体" w:hAnsi="黑体" w:hint="eastAsia"/>
          <w:b w:val="0"/>
          <w:sz w:val="30"/>
          <w:szCs w:val="30"/>
          <w:highlight w:val="none"/>
        </w:rPr>
      </w:pPr>
      <w:bookmarkStart w:id="27" w:name="_Toc20762"/>
      <w:r>
        <w:rPr>
          <w:rFonts w:ascii="黑体" w:eastAsia="黑体" w:hAnsi="黑体" w:cs="方正仿宋_GB2312" w:hint="eastAsia"/>
          <w:bCs w:val="0"/>
          <w:sz w:val="30"/>
          <w:szCs w:val="30"/>
          <w:highlight w:val="none"/>
          <w:u w:val="none"/>
          <w:lang w:val="en-US" w:eastAsia="zh-CN"/>
        </w:rPr>
        <w:t xml:space="preserve">十二、国有资产占有使用情况说明</w:t>
      </w:r>
      <w:bookmarkEnd w:id="27"/>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截至2025年12月31日，华北地质勘查局第四地质大队共有车辆1辆</w:t>
      </w:r>
      <w:r>
        <w:rPr>
          <w:rFonts w:eastAsia="仿宋_GB2312" w:hint="eastAsia"/>
          <w:sz w:val="30"/>
          <w:szCs w:val="30"/>
          <w:highlight w:val="none"/>
          <w:lang w:val="en-US" w:eastAsia="zh-CN"/>
        </w:rPr>
        <w:t xml:space="preserve">，其中：</w:t>
      </w:r>
      <w:r>
        <w:rPr>
          <w:rFonts w:eastAsia="仿宋_GB2312" w:hint="eastAsia"/>
          <w:sz w:val="30"/>
          <w:szCs w:val="30"/>
          <w:highlight w:val="none"/>
          <w:lang w:val="en-US" w:eastAsia="zh-CN"/>
        </w:rPr>
        <w:t xml:space="preserve">其他用车1辆</w:t>
      </w:r>
      <w:r>
        <w:rPr>
          <w:rFonts w:eastAsia="仿宋_GB2312" w:hint="eastAsia"/>
          <w:sz w:val="30"/>
          <w:szCs w:val="30"/>
          <w:highlight w:val="none"/>
          <w:lang w:val="en-US" w:eastAsia="zh-CN"/>
        </w:rPr>
        <w:t xml:space="preserve">，其他用车主要包括地质勘探工作用车</w:t>
      </w:r>
      <w:r>
        <w:rPr>
          <w:rFonts w:eastAsia="仿宋_GB2312" w:hint="eastAsia"/>
          <w:sz w:val="30"/>
          <w:szCs w:val="30"/>
          <w:highlight w:val="none"/>
          <w:lang w:val="en-US" w:eastAsia="zh-CN"/>
        </w:rPr>
        <w:t xml:space="preserve">。单价100万元以上的设备0台（套）。</w:t>
      </w:r>
    </w:p>
    <w:p>
      <w:pPr>
        <w:pStyle w:val="标题2"/>
        <w:spacing w:before="0" w:after="0" w:line="600" w:lineRule="exact"/>
        <w:ind w:firstLine="600" w:firstLineChars="200"/>
        <w:rPr>
          <w:rFonts w:ascii="黑体" w:eastAsia="黑体" w:hAnsi="黑体" w:cs="方正仿宋_GB2312" w:hint="eastAsia"/>
          <w:b/>
          <w:bCs w:val="0"/>
          <w:sz w:val="30"/>
          <w:szCs w:val="30"/>
          <w:highlight w:val="none"/>
          <w:u w:val="none"/>
          <w:lang w:val="en-US" w:eastAsia="zh-CN"/>
        </w:rPr>
      </w:pPr>
      <w:bookmarkStart w:id="28" w:name="_Toc12945"/>
      <w:r>
        <w:rPr>
          <w:rFonts w:ascii="黑体" w:eastAsia="黑体" w:hAnsi="黑体" w:cs="方正仿宋_GB2312" w:hint="eastAsia"/>
          <w:b/>
          <w:bCs w:val="0"/>
          <w:sz w:val="30"/>
          <w:szCs w:val="30"/>
          <w:highlight w:val="none"/>
          <w:u w:val="none"/>
          <w:lang w:val="en-US" w:eastAsia="zh-CN"/>
        </w:rPr>
        <w:t xml:space="preserve">十三、预算绩效情况说明</w:t>
      </w:r>
      <w:bookmarkEnd w:id="28"/>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华北地质勘查局第四地质大队2025年度没有项目支出，无需开展绩效自评。</w:t>
      </w:r>
    </w:p>
    <w:p>
      <w:pPr>
        <w:pStyle w:val="标题2"/>
        <w:spacing w:before="0" w:after="0" w:line="600" w:lineRule="exact"/>
        <w:ind w:firstLine="600" w:firstLineChars="200"/>
        <w:rPr>
          <w:rFonts w:ascii="Times New Roman" w:eastAsia="黑体" w:hAnsi="Times New Roman"/>
          <w:b w:val="0"/>
          <w:sz w:val="30"/>
          <w:szCs w:val="30"/>
          <w:highlight w:val="none"/>
        </w:rPr>
      </w:pPr>
      <w:bookmarkStart w:id="29" w:name="_Toc20809"/>
      <w:r>
        <w:rPr>
          <w:rFonts w:ascii="黑体" w:eastAsia="黑体" w:hAnsi="黑体" w:cs="方正仿宋_GB2312" w:hint="eastAsia"/>
          <w:bCs w:val="0"/>
          <w:sz w:val="30"/>
          <w:szCs w:val="30"/>
          <w:highlight w:val="none"/>
          <w:u w:val="none"/>
          <w:lang w:val="en-US" w:eastAsia="zh-CN"/>
        </w:rPr>
        <w:t xml:space="preserve">十四、教育、医疗卫生、社会保障和就业、住房保障、涉农补贴等民生支出情况说明</w:t>
      </w:r>
      <w:bookmarkEnd w:id="29"/>
    </w:p>
    <w:p>
      <w:pPr>
        <w:divId w:val="0"/>
        <w:spacing w:line="600" w:lineRule="exact"/>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    华北地质勘查局第四地质大队不属于乡、镇、街道单位，不涉及公开2025年度教育、医疗卫生、社会保障和就业、住房保障、涉农补贴等民生支出情况。</w:t>
      </w:r>
    </w:p>
    <w:p>
      <w:pPr>
        <w:pStyle w:val="标题1"/>
        <w:spacing w:before="0" w:after="0" w:line="600" w:lineRule="exact"/>
        <w:jc w:val="center"/>
        <w:rPr>
          <w:rFonts w:ascii="方正小标宋简体" w:eastAsia="方正小标宋简体" w:hAnsi="方正小标宋简体" w:cs="方正小标宋简体" w:hint="eastAsia"/>
          <w:b w:val="0"/>
          <w:sz w:val="48"/>
          <w:szCs w:val="48"/>
          <w:highlight w:val="none"/>
        </w:rPr>
      </w:pPr>
      <w:r>
        <w:rPr>
          <w:rFonts w:ascii="方正小标宋简体" w:eastAsia="方正小标宋简体" w:hAnsi="方正小标宋简体" w:cs="方正小标宋简体" w:hint="eastAsia"/>
          <w:b w:val="0"/>
          <w:sz w:val="48"/>
          <w:szCs w:val="48"/>
          <w:highlight w:val="none"/>
        </w:rPr>
        <w:br w:type="page"/>
      </w:r>
    </w:p>
    <w:p>
      <w:pPr>
        <w:pStyle w:val="标题1"/>
        <w:spacing w:before="0" w:after="0" w:line="600" w:lineRule="exact"/>
        <w:jc w:val="center"/>
        <w:rPr>
          <w:rFonts w:ascii="方正小标宋简体" w:eastAsia="方正小标宋简体" w:hAnsi="方正小标宋简体" w:cs="方正小标宋简体"/>
          <w:b w:val="0"/>
          <w:sz w:val="44"/>
          <w:szCs w:val="44"/>
          <w:highlight w:val="none"/>
        </w:rPr>
      </w:pPr>
      <w:bookmarkStart w:id="30" w:name="_Toc26550"/>
      <w:r>
        <w:rPr>
          <w:rFonts w:ascii="方正小标宋简体" w:eastAsia="方正小标宋简体" w:hAnsi="方正小标宋简体" w:cs="方正小标宋简体" w:hint="eastAsia"/>
          <w:b w:val="0"/>
          <w:lang w:val="en-US" w:eastAsia="zh-CN"/>
        </w:rPr>
        <w:t xml:space="preserve">第四部分  名词解释</w:t>
      </w:r>
      <w:bookmarkEnd w:id="30"/>
    </w:p>
    <w:p>
      <w:pPr>
        <w:pStyle w:val="标题1"/>
        <w:spacing w:before="0" w:after="0" w:line="600" w:lineRule="exact"/>
        <w:jc w:val="center"/>
        <w:rPr>
          <w:rFonts w:ascii="方正小标宋简体" w:eastAsia="方正小标宋简体" w:hAnsi="方正小标宋简体" w:cs="方正小标宋简体" w:hint="eastAsia"/>
          <w:b w:val="0"/>
          <w:sz w:val="44"/>
          <w:szCs w:val="44"/>
          <w:highlight w:val="none"/>
        </w:rPr>
      </w:pP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1</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部门决算。是指各部门依据国家有关法律法规规定及其履行职能情况编制，反映部门所有预算收支和结余执行结果及绩效等情况的综合性年度报告，是改进部门预算执行以及编制后续年度部门预算的参考和依据。</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2</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机关运行经费。反映行政单位（含参照公务员管理事业单位）财政拨款基本支出中的公用经费支出，主要为保障行政单位（含参照公务员管理事业单位）运行用于购买货物和服务的各项资金，包括办公费、印刷费、水费、电费、邮电费、取暖费、物业管理费、差旅费、会议费、公务用车运行维护费以及其他费用。</w:t>
      </w:r>
    </w:p>
    <w:p>
      <w:pPr>
        <w:divId w:val="0"/>
        <w:spacing w:line="600" w:lineRule="exact"/>
        <w:ind w:firstLine="600"/>
        <w:rPr>
          <w:rFonts w:eastAsia="仿宋_GB2312" w:hint="eastAsia"/>
          <w:sz w:val="30"/>
          <w:szCs w:val="30"/>
          <w:highlight w:val="none"/>
          <w:lang w:val="en-US" w:eastAsia="zh-CN"/>
        </w:rPr>
      </w:pPr>
      <w:r>
        <w:rPr>
          <w:rFonts w:eastAsia="仿宋_GB2312" w:hint="eastAsia"/>
          <w:sz w:val="30"/>
          <w:szCs w:val="30"/>
          <w:highlight w:val="none"/>
          <w:lang w:val="en-US" w:eastAsia="zh-CN"/>
        </w:rPr>
        <w:t xml:space="preserve">3</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三</w:t>
      </w:r>
      <w:r>
        <w:rPr>
          <w:rFonts w:eastAsia="仿宋_GB2312" w:hint="eastAsia"/>
          <w:sz w:val="30"/>
          <w:szCs w:val="30"/>
          <w:highlight w:val="none"/>
          <w:lang w:val="en-US" w:eastAsia="zh-CN"/>
        </w:rPr>
        <w:t xml:space="preserve">公</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经费。是指各部门用财政拨款安排的因公出国（境）费、公务用车购置及运行维护费和公务接待费。其中，因公出国（境）费反映单位公务出国（境）的国际旅费、国外城市间交通费、住宿费、伙食费、培训费、公杂费等支出；公务用车购置及运行维护费反映单位公务用车车辆购置支出（含车辆购置税、牌照费）及燃料费、新能源汽车充电费、维修费、过桥过路费、保险费、安全奖励费用等支出；公务接待费反映单位按规定开支的各类公务接待（含外宾接待）支出</w:t>
      </w:r>
      <w:r>
        <w:rPr>
          <w:rFonts w:eastAsia="仿宋_GB2312" w:hint="eastAsia"/>
          <w:sz w:val="30"/>
          <w:szCs w:val="30"/>
          <w:highlight w:val="none"/>
          <w:lang w:val="en-US" w:eastAsia="zh-CN"/>
        </w:rPr>
        <w:t xml:space="preserve">。</w:t>
      </w:r>
      <w:r>
        <w:rPr>
          <w:rFonts w:eastAsia="仿宋_GB2312" w:hint="eastAsia"/>
          <w:sz w:val="30"/>
          <w:szCs w:val="30"/>
          <w:highlight w:val="none"/>
          <w:lang w:val="en-US" w:eastAsia="zh-CN"/>
        </w:rPr>
        <w:t xml:space="preserve"> </w:t>
      </w:r>
    </w:p>
    <w:sectPr>
      <w:footerReference w:type="default" r:id="rId8"/>
      <w:pgSz w:w="11906" w:h="16838" w:orient="portrait"/>
      <w:pgMar w:top="1440" w:right="1800" w:bottom="1440" w:left="1800" w:header="851" w:footer="992" w:gutter="0"/>
      <w:pgBorders w:zOrder="front" w:display="allPages" w:offsetFrom="text">
        <w:top w:val="none" w:sz="0" w:space="0" w:color="auto"/>
        <w:left w:val="none" w:sz="0" w:space="0" w:color="auto"/>
        <w:bottom w:val="none" w:sz="0" w:space="0" w:color="auto"/>
        <w:right w:val="none" w:sz="0" w:space="0" w:color="auto"/>
      </w:pgBorders>
      <w:pgNumType w:fmt="decimal"/>
      <w:textDirection w:val="lrTb"/>
      <w:docGrid w:type="lines" w:linePitch="312" w:charSpace="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default"/>
    <w:sig w:usb0="E0002EFF" w:usb1="C000785B" w:usb2="00000009" w:usb3="00000000" w:csb0="400001FF" w:csb1="FFFF0000"/>
  </w:font>
  <w:font w:name="宋体">
    <w:panose1 w:val="02010600030101010101"/>
    <w:charset w:val="FFFFFF86"/>
    <w:family w:val="auto"/>
    <w:pitch w:val="default"/>
    <w:sig w:usb0="00000203" w:usb1="288F0000" w:usb2="00000006" w:usb3="00000000" w:csb0="00040001" w:csb1="00000000"/>
    <w:embedRegular r:id="rId1" w:subsetted="1" w:fontKey="{F5E39A03-6466-4189-A68E-CDB618246723}"/>
    <w:embedBold r:id="rId2" w:subsetted="1" w:fontKey="{F37E69A9-EA06-4ED5-8168-6C031914BA82}"/>
  </w:font>
  <w:font w:name="Cambria">
    <w:panose1 w:val="02040503050406030204"/>
    <w:charset w:val="00"/>
    <w:family w:val="roman"/>
    <w:pitch w:val="default"/>
    <w:sig w:usb0="E00006FF" w:usb1="420024FF" w:usb2="02000000" w:usb3="00000000" w:csb0="2000019F" w:csb1="00000000"/>
    <w:embedRegular r:id="rId3" w:fontKey="{2D12C3E4-EF99-4EC4-B57E-A5D58A32CA8D}"/>
  </w:font>
  <w:font w:name="Calibri">
    <w:panose1 w:val="020F0502020204030204"/>
    <w:charset w:val="00"/>
    <w:family w:val="swiss"/>
    <w:pitch w:val="default"/>
    <w:sig w:usb0="E4002EFF" w:usb1="C200247B" w:usb2="00000009" w:usb3="00000000" w:csb0="200001FF" w:csb1="00000000"/>
    <w:embedRegular r:id="rId4" w:fontKey="{3C33C121-9AE7-4136-A5DC-6EE96D17A3A5}"/>
  </w:font>
  <w:font w:name="黑体">
    <w:panose1 w:val="02010609060101010101"/>
    <w:charset w:val="FFFFFF86"/>
    <w:family w:val="auto"/>
    <w:pitch w:val="default"/>
    <w:sig w:usb0="800002BF" w:usb1="38CF7CFA" w:usb2="00000016" w:usb3="00000000" w:csb0="00040001" w:csb1="00000000"/>
    <w:embedRegular r:id="rId5" w:subsetted="1" w:fontKey="{DD63060D-8983-4E01-9F72-FF96230C57A8}"/>
    <w:embedBold r:id="rId6" w:subsetted="1" w:fontKey="{A754098F-5407-4366-BC1D-9468DE0A81E8}"/>
  </w:font>
  <w:font w:name="方正小标宋简体">
    <w:altName w:val="黑体"/>
    <w:panose1 w:val="02000000000000000000"/>
    <w:charset w:val="FFFFFF86"/>
    <w:family w:val="auto"/>
    <w:pitch w:val="default"/>
    <w:sig w:usb0="00000001" w:usb1="08000000" w:usb2="00000000" w:usb3="00000000" w:csb0="00040000" w:csb1="00000000"/>
    <w:embedRegular r:id="rId7" w:fontKey="{A973DA0A-65C4-4C56-9C15-1FBF60E815F7}"/>
    <w:embedBold r:id="rId8" w:fontKey="{F3D8C1AE-0C53-4A70-B82A-2714A746361E}"/>
  </w:font>
  <w:font w:name="仿宋">
    <w:panose1 w:val="02010609060101010101"/>
    <w:charset w:val="FFFFFF86"/>
    <w:family w:val="auto"/>
    <w:pitch w:val="default"/>
    <w:sig w:usb0="800002BF" w:usb1="38CF7CFA" w:usb2="00000016" w:usb3="00000000" w:csb0="00040001" w:csb1="00000000"/>
    <w:embedRegular r:id="rId9" w:subsetted="1" w:fontKey="{81D28AF2-8828-49D7-B76F-0768AEC637D3}"/>
  </w:font>
  <w:font w:name="方正仿宋_GB2312">
    <w:altName w:val="仿宋"/>
    <w:panose1 w:val="02000000000000000000"/>
    <w:charset w:val="FFFFFF86"/>
    <w:family w:val="auto"/>
    <w:pitch w:val="default"/>
    <w:sig w:usb0="A00002BF" w:usb1="184F6CFA" w:usb2="00000012" w:usb3="00000000" w:csb0="00040001" w:csb1="00000000"/>
    <w:embedRegular r:id="rId10" w:fontKey="{EFD38CC8-FBA8-44CC-BD39-A65DEBAD7EA0}"/>
  </w:font>
  <w:font w:name="仿宋_GB2312">
    <w:altName w:val="仿宋"/>
    <w:panose1 w:val="02010609030101010101"/>
    <w:charset w:val="FFFFFF86"/>
    <w:family w:val="auto"/>
    <w:pitch w:val="default"/>
    <w:sig w:usb0="00000001" w:usb1="080E0000" w:usb2="00000000" w:usb3="00000000" w:csb0="00040000" w:csb1="00000000"/>
    <w:embedRegular r:id="rId11" w:fontKey="{C87A8259-4AF4-4520-9E9A-13B51EA976E3}"/>
  </w:font>
  <w:font w:name="方正楷体_GB2312">
    <w:altName w:val="宋体"/>
    <w:panose1 w:val="02000000000000000000"/>
    <w:charset w:val="FFFFFF86"/>
    <w:family w:val="auto"/>
    <w:pitch w:val="default"/>
    <w:sig w:usb0="A00002BF" w:usb1="184F6CFA" w:usb2="00000012" w:usb3="00000000" w:csb0="00040001" w:csb1="00000000"/>
  </w:font>
  <w:font w:name="等线">
    <w:panose1 w:val="02010600030101010101"/>
    <w:charset w:val="FFFFFF86"/>
    <w:family w:val="auto"/>
    <w:pitch w:val="default"/>
    <w:sig w:usb0="A00002BF" w:usb1="38CF7CFA" w:usb2="00000016" w:usb3="00000000" w:csb0="0004000F" w:csb1="00000000"/>
  </w:font>
  <w:font w:name="楷体">
    <w:panose1 w:val="02010609060101010101"/>
    <w:charset w:val="FFFFFF86"/>
    <w:family w:val="decorative"/>
    <w:pitch w:val="default"/>
    <w:sig w:usb0="800002BF" w:usb1="38CF7CFA" w:usb2="00000016" w:usb3="00000000" w:csb0="00040001" w:csb1="00000000"/>
    <w:embedRegular r:id="rId12" w:subsetted="1" w:fontKey="{B3870AC3-FF88-43FB-AC04-03339E6B700D}"/>
    <w:embedBold r:id="rId13" w:subsetted="1" w:fontKey="{49FFC021-74E6-41E1-8E0A-7C6BE7D34623}"/>
  </w:font>
  <w:font w:name="Arial">
    <w:charset w:val="00"/>
    <w:family w:val="auto"/>
    <w:pitch w:val="default"/>
  </w:font>
  <w:font w:name="方正仿宋">
    <w:charset w:val="01"/>
    <w:family w:val="auto"/>
    <w:pitch w:val="default"/>
  </w:font>
  <w:font w:name="方正楷体">
    <w:charset w:val="01"/>
    <w:family w:val="auto"/>
    <w:pitch w:val="default"/>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6" o:spid="_x0000_s2049" type="#_x0000_t202" style="width:2in;height:2in;margin-top:0;margin-left:0;mso-position-horizontal:center;mso-position-horizontal-relative:margin;mso-wrap-style:none;position:absolute;z-index:251658240"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3</w:t>
                </w:r>
                <w:r>
                  <w:fldChar w:fldCharType="end"/>
                </w:r>
              </w:p>
            </w:txbxContent>
          </v:textbox>
          <w10:wrap anchorx="margin"/>
        </v:shape>
      </w:pic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7" o:spid="_x0000_s2050" type="#_x0000_t202" style="width:2in;height:2in;margin-top:0;margin-left:0;mso-position-horizontal:center;mso-position-horizontal-relative:margin;mso-wrap-style:none;position:absolute;z-index:251659264"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6</w:t>
                </w:r>
                <w:r>
                  <w:fldChar w:fldCharType="end"/>
                </w:r>
              </w:p>
            </w:txbxContent>
          </v:textbox>
          <w10:wrap anchorx="margin"/>
        </v:shape>
      </w:pict>
    </w: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28" o:spid="_x0000_s2051" type="#_x0000_t202" style="width:2in;height:2in;margin-top:0;margin-left:0;mso-position-horizontal:center;mso-position-horizontal-relative:margin;mso-wrap-style:none;position:absolute;z-index:251660288"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17</w:t>
                </w:r>
                <w:r>
                  <w:fldChar w:fldCharType="end"/>
                </w:r>
              </w:p>
            </w:txbxContent>
          </v:textbox>
          <w10:wrap anchorx="margin"/>
        </v:shape>
      </w:pict>
    </w: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页脚"/>
      <w:tabs>
        <w:tab w:val="center" w:pos="4153"/>
        <w:tab w:val="right" w:pos="8306"/>
      </w:tabs>
    </w:pPr>
    <w:r>
      <w:rPr>
        <w:sz w:val="18"/>
      </w:rPr>
      <w:pict>
        <v:shapetype id="_x0000_t202" coordsize="21600,21600" o:spt="202" path="m,l,21600r21600,l21600,xe">
          <v:stroke joinstyle="miter"/>
          <v:path gradientshapeok="t" o:connecttype="rect"/>
        </v:shapetype>
        <v:shape id="文本框 7" o:spid="_x0000_s2052" type="#_x0000_t202" style="width:2in;height:2in;margin-top:0;margin-left:0;mso-position-horizontal:center;mso-position-horizontal-relative:margin;mso-wrap-style:none;position:absolute;z-index:251661312" filled="f" stroked="f" strokeweight="1.25pt">
          <v:stroke linestyle="single"/>
          <o:lock v:ext="edit" aspectratio="f"/>
          <v:textbox style="mso-fit-shape-to-text:t" inset="0,0,0,0">
            <w:txbxContent>
              <w:p>
                <w:pPr>
                  <w:pStyle w:val="页脚"/>
                  <w:tabs>
                    <w:tab w:val="center" w:pos="4153"/>
                    <w:tab w:val="right" w:pos="8306"/>
                  </w:tabs>
                </w:pPr>
                <w:r>
                  <w:fldChar w:fldCharType="begin"/>
                </w:r>
                <w:r>
                  <w:instrText xml:space="preserve"> PAGE  \* MERGEFORMAT </w:instrText>
                </w:r>
                <w:r>
                  <w:fldChar w:fldCharType="separate"/>
                </w:r>
                <w:r>
                  <w:t xml:space="preserve">24</w:t>
                </w:r>
                <w:r>
                  <w:fldChar w:fldCharType="end"/>
                </w:r>
              </w:p>
            </w:txbxContent>
          </v:textbox>
          <w10:wrap anchorx="margin"/>
        </v:shape>
      </w:pic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TrueTypeFonts/>
  <w:bordersDoNotSurroundFooter w:val="0"/>
  <w:bordersDoNotSurroundHeader w:val="0"/>
  <w:stylePaneFormatFilter w:val="3F01"/>
  <w:doNotTrackMoves/>
  <w:defaultTabStop w:val="420.0"/>
  <w:drawingGridVerticalSpacing w:val="156"/>
  <w:noPunctuationKerning/>
  <w:characterSpacingControl w:val="compressPunctuation"/>
  <w:noLineBreaksAfter w:lang="en-US" w:val="([{·‘“〈《「『【〔〖（．［｛￡￥"/>
  <w:noLineBreaksBefore w:lang="en-US" w:val="!),.:;?]}¨·ˇˉ―‖’”…∶、。〃々〉》」』】〕〗！＂＇），．：；？］｀｜｝～￠"/>
  <w:endnotePr>
    <w:numFmt w:val="decimal"/>
  </w:endnotePr>
  <w:compat>
    <w:spaceForUL/>
    <w:balanceSingleByteDoubleByteWidth/>
    <w:doNotLeaveBackslashAlone/>
    <w:doNotExpandShiftReturn/>
    <w:adjustLineHeightInTable/>
    <w:doNotWrapTextWithPunct/>
    <w:doNotUseEastAsianBreakRules/>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000000"/>
  </w:rsids>
  <w:docVars>
    <w:docVar w:name="commondata" w:val="eyJoZGlkIjoiOTM0ZDdjZmNhMDU3OGRjODI0Y2FhODMxNDQzMzM1NjMifQ=="/>
  </w:docVars>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qFormat="1"/>
    <w:lsdException w:name="heading 3" w:semiHidden="0"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semiHidden="0" w:uiPriority="39" w:qFormat="1"/>
    <w:lsdException w:name="toc 2" w:semiHidden="0" w:uiPriority="39" w:qFormat="1"/>
    <w:lsdException w:name="toc 3" w:semiHidden="0"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unhideWhenUsed="0" w:qFormat="1"/>
    <w:lsdException w:name="header" w:semiHidden="0" w:uiPriority="0"/>
    <w:lsdException w:name="footer" w:semiHidden="0" w:uiPriority="0" w:qFormat="1"/>
    <w:lsdException w:name="caption" w:uiPriority="35" w:qFormat="1"/>
    <w:lsdException w:name="Title" w:semiHidden="0" w:uiPriority="10" w:unhideWhenUsed="0" w:qFormat="1"/>
    <w:lsdException w:name="Default Paragraph Font" w:semiHidden="0" w:uiPriority="0"/>
    <w:lsdException w:name="Body Text Indent" w:semiHidden="0" w:qFormat="1"/>
    <w:lsdException w:name="Subtitle" w:semiHidden="0" w:uiPriority="11" w:unhideWhenUsed="0" w:qFormat="1"/>
    <w:lsdException w:name="Body Text First Indent 2" w:semiHidden="0" w:qFormat="1"/>
    <w:lsdException w:name="Hyperlink" w:semiHidden="0"/>
    <w:lsdException w:name="Strong" w:semiHidden="0" w:uiPriority="22" w:unhideWhenUsed="0" w:qFormat="1"/>
    <w:lsdException w:name="Emphasis" w:semiHidden="0" w:uiPriority="20" w:unhideWhenUsed="0" w:qFormat="1"/>
    <w:lsdException w:name="Normal (Web)" w:semiHidden="0" w:qFormat="1"/>
    <w:lsdException w:name="Normal Table" w:semiHidden="0"/>
    <w:lsdException w:name="Balloon Text" w:semiHidden="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divId w:val="0"/>
      <w:widowControl w:val="0"/>
      <w:adjustRightInd w:val="0"/>
      <w:spacing w:line="360" w:lineRule="atLeast"/>
      <w:textAlignment w:val="baseline"/>
    </w:pPr>
    <w:rPr>
      <w:rFonts w:ascii="Times New Roman" w:eastAsia="宋体" w:hAnsi="Times New Roman" w:cs="Times New Roman"/>
      <w:sz w:val="24"/>
      <w:lang w:val="en-US" w:eastAsia="zh-CN" w:bidi="ar-SA"/>
    </w:rPr>
  </w:style>
  <w:style w:type="paragraph" w:styleId="标题1">
    <w:name w:val="标题 1"/>
    <w:basedOn w:val="Normal"/>
    <w:next w:val="Normal"/>
    <w:link w:val="标题1Char"/>
    <w:uiPriority w:val="9"/>
    <w:qFormat/>
    <w:pPr>
      <w:keepNext/>
      <w:keepLines/>
      <w:spacing w:before="340" w:after="330" w:line="578" w:lineRule="atLeast"/>
      <w:outlineLvl w:val="0"/>
    </w:pPr>
    <w:rPr>
      <w:b/>
      <w:bCs/>
      <w:kern w:val="44.0"/>
      <w:sz w:val="44"/>
      <w:szCs w:val="44"/>
    </w:rPr>
  </w:style>
  <w:style w:type="paragraph" w:styleId="标题2">
    <w:name w:val="标题 2"/>
    <w:basedOn w:val="Normal"/>
    <w:next w:val="Normal"/>
    <w:link w:val="标题2Char"/>
    <w:uiPriority w:val="9"/>
    <w:unhideWhenUsed/>
    <w:qFormat/>
    <w:pPr>
      <w:keepNext/>
      <w:keepLines/>
      <w:spacing w:before="260" w:after="260" w:line="416" w:lineRule="atLeast"/>
      <w:outlineLvl w:val="1"/>
    </w:pPr>
    <w:rPr>
      <w:rFonts w:ascii="Cambria" w:eastAsia="宋体" w:hAnsi="Cambria" w:cs="Times New Roman"/>
      <w:b/>
      <w:bCs/>
      <w:sz w:val="32"/>
      <w:szCs w:val="32"/>
    </w:rPr>
  </w:style>
  <w:style w:type="paragraph" w:styleId="标题3">
    <w:name w:val="标题 3"/>
    <w:basedOn w:val="Normal"/>
    <w:next w:val="Normal"/>
    <w:link w:val="标题3Char"/>
    <w:uiPriority w:val="9"/>
    <w:unhideWhenUsed/>
    <w:qFormat/>
    <w:pPr>
      <w:keepNext/>
      <w:keepLines/>
      <w:spacing w:before="260" w:after="260" w:line="416" w:lineRule="atLeast"/>
      <w:outlineLvl w:val="2"/>
    </w:pPr>
    <w:rPr>
      <w:b/>
      <w:bCs/>
      <w:sz w:val="32"/>
      <w:szCs w:val="32"/>
    </w:rPr>
  </w:style>
  <w:style w:type="character" w:default="1" w:styleId="DefaultParagraphFont">
    <w:name w:val="Default Paragraph Font"/>
    <w:unhideWhenUsed/>
  </w:style>
  <w:style w:type="table" w:styleId="普通表格">
    <w:name w:val="普通表格"/>
    <w:uiPriority w:val="99"/>
    <w:unhideWhenUsed/>
    <w:tblP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0" w:type="dxa"/>
        <w:left w:w="108" w:type="dxa"/>
        <w:bottom w:w="0" w:type="dxa"/>
        <w:right w:w="108" w:type="dxa"/>
      </w:tblCellMar>
    </w:tblPr>
  </w:style>
  <w:style w:type="character" w:styleId="标题1Char">
    <w:name w:val="标题 1 Char"/>
    <w:link w:val="标题1"/>
    <w:uiPriority w:val="9"/>
    <w:rPr>
      <w:b/>
      <w:bCs/>
      <w:kern w:val="44.0"/>
      <w:sz w:val="44"/>
      <w:szCs w:val="44"/>
    </w:rPr>
  </w:style>
  <w:style w:type="character" w:styleId="标题2Char">
    <w:name w:val="标题 2 Char"/>
    <w:link w:val="标题2"/>
    <w:uiPriority w:val="9"/>
    <w:semiHidden/>
    <w:rPr>
      <w:rFonts w:ascii="Cambria" w:eastAsia="宋体" w:hAnsi="Cambria" w:cs="Times New Roman"/>
      <w:b/>
      <w:bCs/>
      <w:sz w:val="32"/>
      <w:szCs w:val="32"/>
    </w:rPr>
  </w:style>
  <w:style w:type="character" w:styleId="标题3Char">
    <w:name w:val="标题 3 Char"/>
    <w:link w:val="标题3"/>
    <w:uiPriority w:val="9"/>
    <w:semiHidden/>
    <w:rPr>
      <w:b/>
      <w:bCs/>
      <w:sz w:val="32"/>
      <w:szCs w:val="32"/>
    </w:rPr>
  </w:style>
  <w:style w:type="paragraph" w:styleId="正文文本缩进">
    <w:name w:val="正文文本缩进"/>
    <w:basedOn w:val="Normal"/>
    <w:next w:val="正文首行缩进2"/>
    <w:uiPriority w:val="99"/>
    <w:unhideWhenUsed/>
    <w:qFormat/>
    <w:pPr>
      <w:spacing w:after="120"/>
      <w:ind w:left="420" w:leftChars="200"/>
      <w:jc w:val="left"/>
    </w:pPr>
    <w:rPr>
      <w:rFonts w:ascii="宋体" w:hAnsi="宋体" w:cs="宋体"/>
      <w:kern w:val="0.0"/>
      <w:sz w:val="24"/>
      <w:lang w:val="en-US" w:eastAsia="zh-CN"/>
    </w:rPr>
  </w:style>
  <w:style w:type="paragraph" w:styleId="正文首行缩进2">
    <w:name w:val="正文首行缩进 2"/>
    <w:basedOn w:val="正文文本缩进"/>
    <w:next w:val="Normal"/>
    <w:uiPriority w:val="99"/>
    <w:unhideWhenUsed/>
    <w:qFormat/>
    <w:pPr>
      <w:ind w:left="420" w:firstLine="420" w:firstLineChars="200"/>
      <w:jc w:val="left"/>
    </w:pPr>
    <w:rPr>
      <w:lang w:val="en-US" w:eastAsia="zh-CN"/>
    </w:rPr>
  </w:style>
  <w:style w:type="paragraph" w:styleId="目录3">
    <w:name w:val="目录 3"/>
    <w:basedOn w:val="Normal"/>
    <w:next w:val="Normal"/>
    <w:uiPriority w:val="39"/>
    <w:unhideWhenUsed/>
    <w:qFormat/>
    <w:pPr>
      <w:widowControl/>
      <w:adjustRightInd/>
      <w:spacing w:after="100" w:line="276" w:lineRule="auto"/>
      <w:ind w:left="440"/>
      <w:textAlignment w:val="auto"/>
    </w:pPr>
    <w:rPr>
      <w:rFonts w:ascii="Calibri" w:eastAsia="宋体" w:hAnsi="Calibri" w:cs="Times New Roman"/>
      <w:sz w:val="22"/>
      <w:szCs w:val="22"/>
    </w:rPr>
  </w:style>
  <w:style w:type="paragraph" w:styleId="批注框文本">
    <w:name w:val="批注框文本"/>
    <w:basedOn w:val="Normal"/>
    <w:link w:val="批注框文本Char"/>
    <w:uiPriority w:val="99"/>
    <w:unhideWhenUsed/>
    <w:pPr>
      <w:spacing w:line="240" w:lineRule="auto"/>
    </w:pPr>
    <w:rPr>
      <w:sz w:val="18"/>
      <w:szCs w:val="18"/>
    </w:rPr>
  </w:style>
  <w:style w:type="character" w:styleId="批注框文本Char">
    <w:name w:val="批注框文本 Char"/>
    <w:link w:val="批注框文本"/>
    <w:uiPriority w:val="99"/>
    <w:semiHidden/>
    <w:rPr>
      <w:sz w:val="18"/>
      <w:szCs w:val="18"/>
    </w:rPr>
  </w:style>
  <w:style w:type="paragraph" w:styleId="页脚">
    <w:name w:val="页脚"/>
    <w:basedOn w:val="Normal"/>
    <w:link w:val="页脚Char"/>
    <w:unhideWhenUsed/>
    <w:qFormat/>
    <w:pPr>
      <w:tabs>
        <w:tab w:val="center" w:pos="4153"/>
        <w:tab w:val="right" w:pos="8306"/>
      </w:tabs>
      <w:snapToGrid w:val="0"/>
      <w:spacing w:line="240" w:lineRule="atLeast"/>
    </w:pPr>
    <w:rPr>
      <w:sz w:val="18"/>
      <w:szCs w:val="18"/>
    </w:rPr>
  </w:style>
  <w:style w:type="character" w:styleId="页脚Char">
    <w:name w:val="页脚 Char"/>
    <w:link w:val="页脚"/>
    <w:semiHidden/>
    <w:rPr>
      <w:sz w:val="18"/>
      <w:szCs w:val="18"/>
    </w:rPr>
  </w:style>
  <w:style w:type="paragraph" w:styleId="页眉">
    <w:name w:val="页眉"/>
    <w:basedOn w:val="Normal"/>
    <w:link w:val="页眉Char"/>
    <w:unhideWhenUsed/>
    <w:pPr>
      <w:pBdr>
        <w:bottom w:val="single" w:sz="6" w:space="1" w:color="auto"/>
      </w:pBdr>
      <w:tabs>
        <w:tab w:val="center" w:pos="4153"/>
        <w:tab w:val="right" w:pos="8306"/>
      </w:tabs>
      <w:snapToGrid w:val="0"/>
      <w:spacing w:line="240" w:lineRule="atLeast"/>
      <w:jc w:val="center"/>
    </w:pPr>
    <w:rPr>
      <w:sz w:val="18"/>
      <w:szCs w:val="18"/>
    </w:rPr>
  </w:style>
  <w:style w:type="character" w:styleId="页眉Char">
    <w:name w:val="页眉 Char"/>
    <w:link w:val="页眉"/>
    <w:semiHidden/>
    <w:rPr>
      <w:sz w:val="18"/>
      <w:szCs w:val="18"/>
    </w:rPr>
  </w:style>
  <w:style w:type="paragraph" w:styleId="目录1">
    <w:name w:val="目录 1"/>
    <w:basedOn w:val="Normal"/>
    <w:next w:val="Normal"/>
    <w:uiPriority w:val="39"/>
    <w:unhideWhenUsed/>
    <w:qFormat/>
    <w:pPr>
      <w:widowControl/>
      <w:tabs>
        <w:tab w:val="right" w:leader="dot" w:pos="8296"/>
      </w:tabs>
      <w:adjustRightInd/>
      <w:spacing w:after="100" w:line="276" w:lineRule="auto"/>
      <w:textAlignment w:val="auto"/>
    </w:pPr>
    <w:rPr>
      <w:rFonts w:ascii="黑体" w:eastAsia="黑体" w:hAnsi="黑体" w:cs="方正小标宋简体"/>
      <w:sz w:val="22"/>
      <w:szCs w:val="22"/>
    </w:rPr>
  </w:style>
  <w:style w:type="paragraph" w:styleId="脚注文本">
    <w:name w:val="脚注文本"/>
    <w:basedOn w:val="Normal"/>
    <w:next w:val="正文首行缩进2"/>
    <w:semiHidden/>
    <w:qFormat/>
    <w:pPr>
      <w:snapToGrid w:val="0"/>
      <w:jc w:val="left"/>
    </w:pPr>
    <w:rPr>
      <w:sz w:val="18"/>
      <w:szCs w:val="18"/>
      <w:lang w:val="en-US" w:eastAsia="zh-CN"/>
    </w:rPr>
  </w:style>
  <w:style w:type="paragraph" w:styleId="目录2">
    <w:name w:val="目录 2"/>
    <w:basedOn w:val="Normal"/>
    <w:next w:val="Normal"/>
    <w:uiPriority w:val="39"/>
    <w:unhideWhenUsed/>
    <w:qFormat/>
    <w:pPr>
      <w:widowControl/>
      <w:adjustRightInd/>
      <w:spacing w:after="100" w:line="276" w:lineRule="auto"/>
      <w:ind w:left="220"/>
      <w:textAlignment w:val="auto"/>
    </w:pPr>
    <w:rPr>
      <w:rFonts w:ascii="Calibri" w:eastAsia="宋体" w:hAnsi="Calibri" w:cs="Times New Roman"/>
      <w:sz w:val="22"/>
      <w:szCs w:val="22"/>
    </w:rPr>
  </w:style>
  <w:style w:type="paragraph" w:styleId="普通(网站)">
    <w:name w:val="普通(网站)"/>
    <w:basedOn w:val="Normal"/>
    <w:uiPriority w:val="99"/>
    <w:unhideWhenUsed/>
    <w:qFormat/>
    <w:rPr>
      <w:sz w:val="24"/>
    </w:rPr>
  </w:style>
  <w:style w:type="character" w:styleId="Hyperlink">
    <w:name w:val="超链接"/>
    <w:uiPriority w:val="99"/>
    <w:unhideWhenUsed/>
    <w:rPr>
      <w:color w:val="0000FF"/>
      <w:u w:val="single"/>
    </w:rPr>
  </w:style>
  <w:style w:type="paragraph" w:styleId="TOC标题">
    <w:name w:val="TOC 标题"/>
    <w:basedOn w:val="标题1"/>
    <w:next w:val="Normal"/>
    <w:uiPriority w:val="39"/>
    <w:unhideWhenUsed/>
    <w:qFormat/>
    <w:pPr>
      <w:widowControl/>
      <w:adjustRightInd/>
      <w:spacing w:before="480" w:after="0" w:line="276" w:lineRule="auto"/>
      <w:textAlignment w:val="auto"/>
      <w:outlineLvl w:val="9"/>
    </w:pPr>
    <w:rPr>
      <w:rFonts w:ascii="Cambria" w:eastAsia="宋体" w:hAnsi="Cambria" w:cs="Times New Roman"/>
      <w:color w:val="365F91"/>
      <w:kern w:val="0.0"/>
      <w:sz w:val="28"/>
      <w:szCs w:val="28"/>
    </w:rPr>
  </w:style>
  <w:style w:type="character" w:styleId="font41">
    <w:name w:val="font41"/>
    <w:basedOn w:val="DefaultParagraphFont"/>
    <w:qFormat/>
    <w:rPr>
      <w:rFonts w:ascii="宋体" w:eastAsia="宋体" w:hAnsi="宋体" w:cs="宋体" w:hint="eastAsia"/>
      <w:color w:val="000000"/>
      <w:sz w:val="20"/>
      <w:szCs w:val="20"/>
      <w:u w:val="none"/>
    </w:rPr>
  </w:style>
  <w:style w:type="character" w:styleId="font11">
    <w:name w:val="font11"/>
    <w:basedOn w:val="DefaultParagraphFont"/>
    <w:qFormat/>
    <w:rPr>
      <w:rFonts w:ascii="宋体" w:eastAsia="宋体" w:hAnsi="宋体" w:cs="宋体" w:hint="eastAsia"/>
      <w:color w:val="000000"/>
      <w:sz w:val="22"/>
      <w:szCs w:val="22"/>
      <w:u w:val="none"/>
    </w:rPr>
  </w:style>
  <w:style w:type="table" w:styleId="普通表格1">
    <w:name w:val="普通表格1"/>
    <w:uiPriority w:val="99"/>
    <w:unhideWhenUsed/>
    <w:tblPr>
      <w:tblCellMar>
        <w:top w:w="0" w:type="dxa"/>
        <w:left w:w="108" w:type="dxa"/>
        <w:bottom w:w="0" w:type="dxa"/>
        <w:right w:w="108" w:type="dxa"/>
      </w:tblCellMar>
    </w:tblPr>
  </w:style>
  <w:style w:type="table" w:default="1" w:styleId="NormalTable">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NormalTable"/>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styles" Target="styles.xml" /><Relationship Id="rId11" Type="http://schemas.openxmlformats.org/officeDocument/2006/relationships/fontTable" Target="fontTable.xml" /><Relationship Id="rId2" Type="http://schemas.openxmlformats.org/officeDocument/2006/relationships/webSettings" Target="webSettings.xml" /><Relationship Id="rId3" Type="http://schemas.openxmlformats.org/officeDocument/2006/relationships/customXml" Target="../customXml/item1.xml" /><Relationship Id="rId4" Type="http://schemas.openxmlformats.org/officeDocument/2006/relationships/footer" Target="footer1.xml" /><Relationship Id="rId5" Type="http://schemas.openxmlformats.org/officeDocument/2006/relationships/footer" Target="footer2.xml" /><Relationship Id="rId6" Type="http://schemas.openxmlformats.org/officeDocument/2006/relationships/footer" Target="footer3.xml" /><Relationship Id="rId7" Type="http://schemas.openxmlformats.org/officeDocument/2006/relationships/footer" Target="footer4.xml" /><Relationship Id="rId8" Type="http://schemas.openxmlformats.org/officeDocument/2006/relationships/footer" Target="footer5.xml" /><Relationship Id="rId9" Type="http://schemas.openxmlformats.org/officeDocument/2006/relationships/theme" Target="theme/theme1.xml" /></Relationships>
</file>

<file path=word/_rels/fontTable.xml.rels>&#65279;<?xml version="1.0" encoding="utf-8" standalone="yes"?><Relationships xmlns="http://schemas.openxmlformats.org/package/2006/relationships"><Relationship Id="rId1" Type="http://schemas.openxmlformats.org/officeDocument/2006/relationships/font" Target="fonts/font0.odttf" /><Relationship Id="rId10" Type="http://schemas.openxmlformats.org/officeDocument/2006/relationships/font" Target="fonts/font9.odttf" /><Relationship Id="rId11" Type="http://schemas.openxmlformats.org/officeDocument/2006/relationships/font" Target="fonts/font10.odttf" /><Relationship Id="rId12" Type="http://schemas.openxmlformats.org/officeDocument/2006/relationships/font" Target="fonts/font11.odttf" /><Relationship Id="rId13" Type="http://schemas.openxmlformats.org/officeDocument/2006/relationships/font" Target="fonts/font12.odttf" /><Relationship Id="rId2" Type="http://schemas.openxmlformats.org/officeDocument/2006/relationships/font" Target="fonts/font1.odttf" /><Relationship Id="rId3" Type="http://schemas.openxmlformats.org/officeDocument/2006/relationships/font" Target="fonts/font2.odttf" /><Relationship Id="rId4" Type="http://schemas.openxmlformats.org/officeDocument/2006/relationships/font" Target="fonts/font3.odttf" /><Relationship Id="rId5" Type="http://schemas.openxmlformats.org/officeDocument/2006/relationships/font" Target="fonts/font4.odttf" /><Relationship Id="rId6" Type="http://schemas.openxmlformats.org/officeDocument/2006/relationships/font" Target="fonts/font5.odttf" /><Relationship Id="rId7" Type="http://schemas.openxmlformats.org/officeDocument/2006/relationships/font" Target="fonts/font6.odttf" /><Relationship Id="rId8" Type="http://schemas.openxmlformats.org/officeDocument/2006/relationships/font" Target="fonts/font7.odttf" /><Relationship Id="rId9" Type="http://schemas.openxmlformats.org/officeDocument/2006/relationships/font" Target="fonts/font8.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

<file path=customXml/itemProps1.xml><?xml version="1.0" encoding="utf-8"?>
<ds:datastoreItem xmlns:ds="http://schemas.openxmlformats.org/officeDocument/2006/customXml" ds:itemID="">
  <ds:schemaRefs/>
</ds:datastoreItem>
</file>

<file path=docProps/app.xml><?xml version="1.0" encoding="utf-8"?>
<Properties xmlns:vt="http://schemas.openxmlformats.org/officeDocument/2006/docPropsVTypes" xmlns="http://schemas.openxmlformats.org/officeDocument/2006/extended-properties">
  <Template>Normal.dot</Template>
  <Pages>27</Pages>
  <Words>11720</Words>
  <Characters>62073</Characters>
  <Application>WPS Office_12.1.0.28043_F1E327BC-269C-435d-A152-05C5408002CA</Application>
  <DocSecurity>0</DocSecurity>
  <Lines>60</Lines>
  <Paragraphs>16</Paragraphs>
  <ScaleCrop>false</ScaleCrop>
  <Company>Microsoft</Company>
  <LinksUpToDate>false</LinksUpToDate>
  <CharactersWithSpaces>63178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附件1</dc:title>
  <dc:creator>Administrator</dc:creator>
  <cp:lastModifiedBy>听鸣</cp:lastModifiedBy>
  <cp:revision>1</cp:revision>
  <cp:lastPrinted>2025-06-25T07:52:17Z</cp:lastPrinted>
  <dcterms:created xsi:type="dcterms:W3CDTF">2019-07-27T18:37:00Z</dcterms:created>
  <dcterms:modified xsi:type="dcterms:W3CDTF">2026-08-26T09:19:43Z</dcterms:modified>
</cp:coreProperties>
</file>

<file path=docProps/custom.xml><?xml version="1.0" encoding="utf-8"?>
<Properties xmlns:vt="http://schemas.openxmlformats.org/officeDocument/2006/docPropsVTypes" xmlns="http://schemas.openxmlformats.org/officeDocument/2006/custom-properties">
  <property fmtid="{D5CDD505-2E9C-101B-9397-08002B2CF9AE}" pid="2" name="KSOProductBuildVer">
    <vt:lpwstr>2052-12.1.0.28043</vt:lpwstr>
  </property>
  <property fmtid="{D5CDD505-2E9C-101B-9397-08002B2CF9AE}" pid="3" name="ICV">
    <vt:lpwstr>E151D0DB37EA4C6BB556C7F4BC7BE980_13</vt:lpwstr>
  </property>
  <property fmtid="{D5CDD505-2E9C-101B-9397-08002B2CF9AE}" pid="4" name="KSOTemplateDocerSaveRecord">
    <vt:lpwstr>eyJoZGlkIjoiMGMwOGFkMDkyMGVjOWVjMzc0YjBmOTUwNDI2MGMxYmMiLCJ1c2VySWQiOiI4ODc2NjQ3MTcifQ_x003D__x003D_</vt:lpwstr>
  </property>
</Properties>
</file>