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天津华北地质勘查局（本级）</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为承担的国家和地方地质及矿产资源勘查开发提供管理保障；负责本局地质勘查业务管理、地质勘查报告审查与评估；负责本局所属地质勘查队伍管理及国有资产保值增值</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天津华北地质勘查局（本级）（内设14个职能处室）。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天津华北地质勘查局（本级）</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23155000.00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3132000.00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1109000.00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5037454.80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18608.47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45837340.96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23173608.47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55115795.76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31942187.29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55115795.76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55115795.76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23173608.47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23155000.00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18608.47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3132000.00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2088000.00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2088000.00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1044000.00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1044000.00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1109000.00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1109000.00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1109000.00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1109000.00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746000.00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746000.00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污染防治</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4490000.00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14442608.47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14424000.00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18608.47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14442608.47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14424000.00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18608.47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14442608.47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14424000.00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18608.47</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天津华北地质勘查局（本级）</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55115795.76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23173608.47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23155000.00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18608.47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天津华北地质勘查局（本级）</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55115795.76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23173608.47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23155000.00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18608.47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天津华北地质勘查局（本级）</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31942187.29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31942187.29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31942187.29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天津华北地质勘查局（本级）</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31942187.29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31942187.29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31942187.29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55115795.76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50078340.96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5037454.80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2088000.00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2088000.00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1044000.00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1044000.00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节能环保支出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污染防治</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5037454.80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45837340.96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3132000.00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3132000.00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1109000.00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1109000.00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4490000.00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4490000.00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14424000.00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14424000.00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23155000.00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天津华北地质勘查局（本级）</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23155000.00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18665000.00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17390000.00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1275000.00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2088000.00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2088000.00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2088000.00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节能环保支出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污染防治</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4490000.00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14424000.00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15283299.87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6385900.00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2114683.96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2088000.00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1044000.00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953121.94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1531000.00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4277.93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421316.04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2106700.13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526098.08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1532062.70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48539.35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17390000.00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1275000.00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天津华北地质勘查局（本级）2025年度政府性基金预算财政拨款收入支出决算表为空表。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天津华北地质勘查局（本级）2025年度国有资本经营预算财政拨款收入支出决算表为空表。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天津华北地质勘查局（本级）2025年财政拨款“三公”经费支出决算表为空表。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天津华北地质勘查局（本级）</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5037454.80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4490000.00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547454.80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节能环保支出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5037454.80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547454.80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污染防治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5037454.80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547454.80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水体</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5037454.80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547454.80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天津市集中式饮用水水源地保护区周边影响区地下水环境状况调查评估项目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4490000.00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天津市集中式饮用水水源地保护区周边影响区地下水环境状况调查评估项目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547454.80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547454.80</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55,115,795.76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减少8,346,930.24元，下降13.15%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一般公共预算财政拨款收入23,155,000.00元、其他收入18,608.47元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社会保障和就业支出3,132,000.00元、卫生健康支出1,109,000.00元、节能环保支出5,037,454.80元、自然资源海洋气象等支出45,837,340.96元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23,173,608.47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减少10,472,158.64元，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一般公共预算财政拨款收入23,155,000.00元，占99.92%；其他收入18,608.47元，占0.08%</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55,115,795.76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减少8,346,930.24元，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基本支出50,078,340.96元，占90.86%；项目支出5,037,454.80元，占9.14%</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23,155,000.00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减少10,460,614.00元，下降31.12%，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一般公共预算财政拨款23,155,000.00元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社会保障和就业支出3,132,000.00元、卫生健康支出1,109,000.00元、节能环保支出4,490,000.00元、自然资源海洋气象等支出14,424,000.00元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天津华北地质勘查局（本级）2025年度一般公共预算财政拨款支出合计23,155,000.00元，占本年支出合计的42.01%。与2024年度相比，一般公共预算财政拨款支出</w:t>
      </w:r>
      <w:r>
        <w:rPr>
          <w:rFonts w:eastAsia="仿宋_GB2312" w:hint="eastAsia"/>
          <w:sz w:val="30"/>
          <w:szCs w:val="30"/>
          <w:highlight w:val="none"/>
          <w:lang w:val="en-US" w:eastAsia="zh-CN"/>
        </w:rPr>
        <w:t xml:space="preserve">增加99,386.00元</w:t>
      </w:r>
      <w:r>
        <w:rPr>
          <w:rFonts w:eastAsia="仿宋_GB2312" w:hint="eastAsia"/>
          <w:sz w:val="30"/>
          <w:szCs w:val="30"/>
          <w:highlight w:val="none"/>
          <w:lang w:val="en-US" w:eastAsia="zh-CN"/>
        </w:rPr>
        <w:t xml:space="preserve">，增长0.43%</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2025年度一般公共预算财政拨款支出23,155,000.00元，主要用于以下方面：</w:t>
      </w:r>
      <w:r>
        <w:rPr>
          <w:rFonts w:eastAsia="仿宋_GB2312" w:hint="eastAsia"/>
          <w:sz w:val="30"/>
          <w:szCs w:val="30"/>
          <w:highlight w:val="none"/>
        </w:rPr>
        <w:t xml:space="preserve">社会保障和就业支出（类）支出3,132,000.00元，占13.53%，卫生健康支出（类）支出1,109,000.00元，占4.79%，节能环保支出（类）支出4,490,000.00元，占19.39%，自然资源海洋气象等支出（类）支出14,424,000.00元，占62.29%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2025年度一般公共预算财政拨款支出年初预算为22,378,000.00元，支出决算为23,155,000.00元</w:t>
      </w:r>
      <w:r>
        <w:rPr>
          <w:rFonts w:eastAsia="仿宋_GB2312" w:hint="eastAsia"/>
          <w:sz w:val="30"/>
          <w:szCs w:val="30"/>
          <w:highlight w:val="none"/>
          <w:lang w:val="en-US" w:eastAsia="zh-CN"/>
        </w:rPr>
        <w:t xml:space="preserve">，完成年初预算的103.47%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1,908,000.00元，支出决算为2,088,000.00元，完成年初预算的109.43%，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954,000.00元，支出决算为1,044,000.00元，完成年初预算的109.43%，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666,000.00元，支出决算为746,000.00元，完成年初预算的112.01%，决算数大于年初预算数的主要原因是：本年度因人员增减变动及追加离休干部医药费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363,000.00元，支出决算为363,000.00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5.节能环保支出（类）污染防治（款）水体（项）年初预算为4,490,000.00元，支出决算为4,490,000.00元，完成年初预算的100.00%，决算数与年初预算数持平的主要原因是：厉行节约，严格按照预算执行。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自然资源海洋气象等支出（类）自然资源事务（款）事业运行（项）年初预算为13,997,000.00元，支出决算为14,424,000.00元，完成年初预算的103.05%，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天津华北地质勘查局（本级）2025年度一般公共预算财政拨款基本支出合计18,665,000.00元，与2024年度相比</w:t>
      </w:r>
      <w:r>
        <w:rPr>
          <w:rFonts w:eastAsia="仿宋_GB2312" w:hint="eastAsia"/>
          <w:sz w:val="30"/>
          <w:szCs w:val="30"/>
          <w:highlight w:val="none"/>
          <w:lang w:val="en-US" w:eastAsia="zh-CN"/>
        </w:rPr>
        <w:t xml:space="preserve">减少1,340,700.00元，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人员经费17,390,000.00元，主要包括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基本工资、津贴补贴、绩效工资、机关事业单位基本养老保险缴费、职业年金缴费、职工基本医疗保险缴费、其他社会保障缴费、住房公积金、医疗费、其他工资福利支出、离休费、退休费、医疗费补助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公用经费1,275,000.00元，主要包括</w:t>
      </w:r>
      <w:r>
        <w:rPr>
          <w:rFonts w:eastAsia="仿宋_GB2312" w:hint="eastAsia"/>
          <w:sz w:val="30"/>
          <w:szCs w:val="30"/>
          <w:highlight w:val="none"/>
          <w:lang w:val="en-US" w:eastAsia="zh-CN"/>
        </w:rPr>
        <w:t xml:space="preserve">办公费、水费、电费、物业管理费、委托业务费、工会经费、福利费、其他交通费用</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本级）2025年政府采购支出总额1,258,962.00元，其中：政府采购货物支出26,004.00元、政府采购工程支出0.00元、政府采购服务支出1,232,958.00元。授予中小企业合同金额1,258,962.00元，占政府采购支出总额的100.00%，其中：授予小微企业合同金额26,004.00元，占政府采购支出总额的2.07%；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截至2025年12月31日，天津华北地质勘查局（本级）共有车辆1辆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，其他用车主要包括其他人员用车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天津华北地质勘查局（本级）无需公开2025年度项目支出绩效自评结果。</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天津华北地质勘查局（本级）不属于乡、镇、街级单位，不涉及公开2025年度教育、医疗卫生、社会保障和就业、住房保障、涉农补贴等民生支出情况。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686142C7-E21E-4E26-A712-41A317447C9B}"/>
    <w:embedBold r:id="rId2" w:subsetted="1" w:fontKey="{CE1F0C15-5DA0-4272-8FE7-4D57F68477BB}"/>
  </w:font>
  <w:font w:name="Cambria">
    <w:panose1 w:val="02040503050406030204"/>
    <w:charset w:val="00"/>
    <w:family w:val="roman"/>
    <w:pitch w:val="default"/>
    <w:sig w:usb0="E00006FF" w:usb1="420024FF" w:usb2="02000000" w:usb3="00000000" w:csb0="2000019F" w:csb1="00000000"/>
    <w:embedRegular r:id="rId3" w:fontKey="{B933B22F-D689-47BA-80AB-FBF388909CE8}"/>
  </w:font>
  <w:font w:name="Calibri">
    <w:panose1 w:val="020F0502020204030204"/>
    <w:charset w:val="00"/>
    <w:family w:val="swiss"/>
    <w:pitch w:val="default"/>
    <w:sig w:usb0="E4002EFF" w:usb1="C200247B" w:usb2="00000009" w:usb3="00000000" w:csb0="200001FF" w:csb1="00000000"/>
    <w:embedRegular r:id="rId4" w:fontKey="{EA02B94E-8135-4001-9049-520D00825912}"/>
  </w:font>
  <w:font w:name="黑体">
    <w:panose1 w:val="02010609060101010101"/>
    <w:charset w:val="FFFFFF86"/>
    <w:family w:val="auto"/>
    <w:pitch w:val="default"/>
    <w:sig w:usb0="800002BF" w:usb1="38CF7CFA" w:usb2="00000016" w:usb3="00000000" w:csb0="00040001" w:csb1="00000000"/>
    <w:embedRegular r:id="rId5" w:subsetted="1" w:fontKey="{C2EC112D-597A-4A35-A604-7EE48BCDF192}"/>
    <w:embedBold r:id="rId6" w:subsetted="1" w:fontKey="{3B3E51A6-BEF3-473F-AFFF-CEF8AC3A8AC8}"/>
  </w:font>
  <w:font w:name="方正小标宋简体">
    <w:altName w:val="黑体"/>
    <w:panose1 w:val="02000000000000000000"/>
    <w:charset w:val="FFFFFF86"/>
    <w:family w:val="auto"/>
    <w:pitch w:val="default"/>
    <w:sig w:usb0="00000001" w:usb1="08000000" w:usb2="00000000" w:usb3="00000000" w:csb0="00040000" w:csb1="00000000"/>
    <w:embedRegular r:id="rId7" w:fontKey="{43394E95-5B99-4891-9DBA-8120B73AFA7D}"/>
    <w:embedBold r:id="rId8" w:fontKey="{1A1F3DEF-6F47-48E3-A1B6-0449FE957633}"/>
  </w:font>
  <w:font w:name="仿宋">
    <w:panose1 w:val="02010609060101010101"/>
    <w:charset w:val="FFFFFF86"/>
    <w:family w:val="auto"/>
    <w:pitch w:val="default"/>
    <w:sig w:usb0="800002BF" w:usb1="38CF7CFA" w:usb2="00000016" w:usb3="00000000" w:csb0="00040001" w:csb1="00000000"/>
    <w:embedRegular r:id="rId9" w:subsetted="1" w:fontKey="{E50BCF09-E6B9-4C69-9258-F39A8255C125}"/>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323562FE-2EAC-44EF-BD83-D6E6FDE0B5D4}"/>
  </w:font>
  <w:font w:name="方正楷体_GB2312">
    <w:altName w:val="宋体"/>
    <w:panose1 w:val="02000000000000000000"/>
    <w:charset w:val="FFFFFF86"/>
    <w:family w:val="auto"/>
    <w:pitch w:val="default"/>
    <w:sig w:usb0="A00002BF" w:usb1="184F6CFA" w:usb2="00000012" w:usb3="00000000" w:csb0="00040001" w:csb1="00000000"/>
    <w:embedRegular r:id="rId11" w:fontKey="{127CD346-C2EA-4C86-B19E-60D0999933D8}"/>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5C778A5C-A783-40B1-A002-4D153DA05616}"/>
    <w:embedBold r:id="rId13" w:subsetted="1" w:fontKey="{4E670793-0728-4FC1-8756-16BB4CCB38B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28</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31</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