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华北地质勘查局综合普查大队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承担国家和地方地质找矿综合普查任务，负责区域地质调查、地质测绘与工程测算</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华北地质勘查局综合普查大队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1.华北地质勘查局综合普查大队。</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华北地质勘查局综合普查大队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25844700.00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1717533.84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4410000.00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1694800.00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15678.36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22169617.30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27577912.20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28274417.30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1261970.05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5043837.23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-2206501.69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-6684873.97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-2206501.69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26633380.56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26633380.56</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27577912.20</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25844700.00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1717533.84</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15678.36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4410000.00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4410000.00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4410000.00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2940000.00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1694800.00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1694800.00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1694800.00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1694800.00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1028800.00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1028800.00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666000.00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21473112.20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19739900.00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1717533.84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15678.36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21473112.20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19739900.00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1717533.84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15678.36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21473112.20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19739900.00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1717533.84</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15678.36</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华北地质勘查局综合普查大队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26633380.56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27577912.20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25844700.00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1717533.84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15678.36</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615208</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华北地质勘查局综合普查大队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26633380.56</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27577912.20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25844700.00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1717533.84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15678.36</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华北地质勘查局综合普查大队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-944531.64</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-944531.64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-944531.64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615208</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华北地质勘查局综合普查大队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-944531.64</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-944531.64</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-944531.64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28274417.30</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27122348.41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1152068.89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1028800.00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1028800.00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22169617.30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21017548.41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1152068.89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22169617.30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21017548.41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1152068.89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22169617.30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21017548.41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1152068.89</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4410000.00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4410000.00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1694800.00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1694800.00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19739900.00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19739900.00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25844700.00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华北地质勘查局综合普查大队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25844700.00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25844700.00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25844700.00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4410000.00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2940000.00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1694800.00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1028800.00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666000.00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19739900.00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22911198.60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11043259.07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3622645.00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1663781.13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2940000.00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1470000.00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1086189.32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468324.08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617000.00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2933501.40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22225.40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2333196.00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578080.00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25844700.00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华北地质勘查局综合普查大队2025年度政府性基金预算财政拨款收入支出决算表为空表。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华北地质勘查局综合普查大队2025年度国有资本经营预算财政拨款收入支出决算表为空表。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华北地质勘查局综合普查大队2025年财政拨款“三公”经费支出决算表为空表。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华北地质勘查局综合普查大队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华北地质勘查局综合普查大队2025年项目支出决算表为空表。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26,633,380.56</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减少3,841,291.10元，下降12.60%</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一般公共预算财政拨款收入25,844,700.00元、事业单位经营收入1,717,533.84元、其他收入15,678.36元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社会保障和就业支出4,410,000.00元、卫生健康支出1,694,800.00元、自然资源海洋气象等支出22,169,617.30元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华北地质勘查局综合普查大队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27,577,912.20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减少4,774,821.77元，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一般公共预算财政拨款收入、事业单位经营收入减少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一般公共预算财政拨款收入25,844,700.00元，占93.72%；事业单位经营收入1,717,533.84元，占6.23%；其他收入15,678.36元，占0.06%</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华北地质勘查局综合普查大队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28,274,417.30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减少4,406,756.05元，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财政拨款支出、经营支出减少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基本支出27,122,348.41元，占95.93%；经营支出1,152,068.89元，占4.07%</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25,844,700.00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减少2,956,300.00元，下降10.26%，</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一般公共预算财政拨款25,844,700.00元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社会保障和就业支出4,410,000.00元、卫生健康支出1,694,800.00元、自然资源海洋气象等支出19,739,900.00元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华北地质勘查局综合普查大队2025年度一般公共预算财政拨款支出合计25,844,700.00元，占本年支出合计的91.41%。与2024年度相比，一般公共预算财政拨款支出</w:t>
      </w:r>
      <w:r>
        <w:rPr>
          <w:rFonts w:eastAsia="仿宋_GB2312" w:hint="eastAsia"/>
          <w:sz w:val="30"/>
          <w:szCs w:val="30"/>
          <w:highlight w:val="none"/>
          <w:lang w:val="en-US" w:eastAsia="zh-CN"/>
        </w:rPr>
        <w:t xml:space="preserve">减少2,956,300.00元</w:t>
      </w:r>
      <w:r>
        <w:rPr>
          <w:rFonts w:eastAsia="仿宋_GB2312" w:hint="eastAsia"/>
          <w:sz w:val="30"/>
          <w:szCs w:val="30"/>
          <w:highlight w:val="none"/>
          <w:lang w:val="en-US" w:eastAsia="zh-CN"/>
        </w:rPr>
        <w:t xml:space="preserve">，下降10.26%</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2025年度一般公共预算财政拨款支出25,844,700.00元，主要用于以下方面：</w:t>
      </w:r>
      <w:r>
        <w:rPr>
          <w:rFonts w:eastAsia="仿宋_GB2312" w:hint="eastAsia"/>
          <w:sz w:val="30"/>
          <w:szCs w:val="30"/>
          <w:highlight w:val="none"/>
        </w:rPr>
        <w:t xml:space="preserve">社会保障和就业支出（类）支出4,410,000.00元，占17.06%，卫生健康支出（类）支出1,694,800.00元，占6.56%，自然资源海洋气象等支出（类）支出19,739,900.00元，占76.38%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2025年度一般公共预算财政拨款支出年初预算为24,750,000.00元，支出决算为25,844,700.00元</w:t>
      </w:r>
      <w:r>
        <w:rPr>
          <w:rFonts w:eastAsia="仿宋_GB2312" w:hint="eastAsia"/>
          <w:sz w:val="30"/>
          <w:szCs w:val="30"/>
          <w:highlight w:val="none"/>
          <w:lang w:val="en-US" w:eastAsia="zh-CN"/>
        </w:rPr>
        <w:t xml:space="preserve">，完成年初预算的104.42%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2,940,000.00元，支出决算为2,940,000.00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1,470,000.00元，支出决算为1,470,000.00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3.卫生健康支出（类）行政事业单位医疗（款）事业单位医疗（项）年初预算为985,000.00元，支出决算为1,028,800.00元，完成年初预算的104.45%，决算数大于年初预算数的主要原因是：追加离休干部医药费。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666,000.00元，支出决算为666,000.00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18,689,000.00元，支出决算为19,739,900.00元，完成年初预算的105.62%，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华北地质勘查局综合普查大队2025年度一般公共预算财政拨款基本支出合计25,844,700.00元，与2024年度相比</w:t>
      </w:r>
      <w:r>
        <w:rPr>
          <w:rFonts w:eastAsia="仿宋_GB2312" w:hint="eastAsia"/>
          <w:sz w:val="30"/>
          <w:szCs w:val="30"/>
          <w:highlight w:val="none"/>
          <w:lang w:val="en-US" w:eastAsia="zh-CN"/>
        </w:rPr>
        <w:t xml:space="preserve">减少2,956,300.00元，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人员经费25,844,700.00元，主要包括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基本工资、津贴补贴、绩效工资、机关事业单位基本养老保险缴费、职业年金缴费、职工基本医疗保险缴费、其他社会保障缴费、住房公积金、离休费、退休费、医疗费补助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华北地质勘查局综合普查大队2025年度无政府采购支出。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截至2025年12月31日，华北地质勘查局综合普查大队共有车辆1辆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其他用车1辆</w:t>
      </w:r>
      <w:r>
        <w:rPr>
          <w:rFonts w:eastAsia="仿宋_GB2312" w:hint="eastAsia"/>
          <w:sz w:val="30"/>
          <w:szCs w:val="30"/>
          <w:highlight w:val="none"/>
          <w:lang w:val="en-US" w:eastAsia="zh-CN"/>
        </w:rPr>
        <w:t xml:space="preserve">，其他用车主要包括地质勘探工作用车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华北地质勘查局综合普查大队无需公开2025年度项目支出绩效自评结果。</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华北地质勘查局综合普查大队2025年度未开展部门评价。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华北地质勘查局综合普查大队不属于乡、镇、街级单位，不涉及公开2025年度教育、医疗卫生、社会保障和就业、住房保障、涉农补贴等民生支出情况。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B325F79-342B-402D-B475-5738F65F0473}"/>
    <w:embedBold r:id="rId2" w:subsetted="1" w:fontKey="{FE05AFF6-8B4B-47D6-B876-03D0D9970224}"/>
  </w:font>
  <w:font w:name="Cambria">
    <w:panose1 w:val="02040503050406030204"/>
    <w:charset w:val="00"/>
    <w:family w:val="roman"/>
    <w:pitch w:val="default"/>
    <w:sig w:usb0="E00006FF" w:usb1="420024FF" w:usb2="02000000" w:usb3="00000000" w:csb0="2000019F" w:csb1="00000000"/>
    <w:embedRegular r:id="rId3" w:fontKey="{84354787-7E2D-4C80-BECF-4C4B0C72A826}"/>
  </w:font>
  <w:font w:name="Calibri">
    <w:panose1 w:val="020F0502020204030204"/>
    <w:charset w:val="00"/>
    <w:family w:val="swiss"/>
    <w:pitch w:val="default"/>
    <w:sig w:usb0="E4002EFF" w:usb1="C200247B" w:usb2="00000009" w:usb3="00000000" w:csb0="200001FF" w:csb1="00000000"/>
    <w:embedRegular r:id="rId4" w:fontKey="{E52F722F-F1DF-4090-A8F4-1BEE2A1ABF3F}"/>
  </w:font>
  <w:font w:name="黑体">
    <w:panose1 w:val="02010609060101010101"/>
    <w:charset w:val="FFFFFF86"/>
    <w:family w:val="auto"/>
    <w:pitch w:val="default"/>
    <w:sig w:usb0="800002BF" w:usb1="38CF7CFA" w:usb2="00000016" w:usb3="00000000" w:csb0="00040001" w:csb1="00000000"/>
    <w:embedRegular r:id="rId5" w:subsetted="1" w:fontKey="{451FFD17-52B2-40BD-9983-7949A1B5FE55}"/>
    <w:embedBold r:id="rId6" w:subsetted="1" w:fontKey="{238E3B12-CC2E-49F8-9658-F4A5770D90D3}"/>
  </w:font>
  <w:font w:name="方正小标宋简体">
    <w:altName w:val="黑体"/>
    <w:panose1 w:val="02000000000000000000"/>
    <w:charset w:val="FFFFFF86"/>
    <w:family w:val="auto"/>
    <w:pitch w:val="default"/>
    <w:sig w:usb0="00000001" w:usb1="08000000" w:usb2="00000000" w:usb3="00000000" w:csb0="00040000" w:csb1="00000000"/>
    <w:embedRegular r:id="rId7" w:fontKey="{8CC64494-99C3-480D-A796-383CFB116CC7}"/>
    <w:embedBold r:id="rId8" w:fontKey="{D458101B-F303-46DD-9FFC-D6909F831481}"/>
  </w:font>
  <w:font w:name="仿宋">
    <w:panose1 w:val="02010609060101010101"/>
    <w:charset w:val="FFFFFF86"/>
    <w:family w:val="auto"/>
    <w:pitch w:val="default"/>
    <w:sig w:usb0="800002BF" w:usb1="38CF7CFA" w:usb2="00000016" w:usb3="00000000" w:csb0="00040001" w:csb1="00000000"/>
    <w:embedRegular r:id="rId9" w:subsetted="1" w:fontKey="{8BD5E562-C090-41F4-89AF-10E6DF6D0EEF}"/>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6A5FB2DB-35F9-4CC0-8EC9-182C5FBC2C7E}"/>
  </w:font>
  <w:font w:name="方正楷体_GB2312">
    <w:altName w:val="宋体"/>
    <w:panose1 w:val="02000000000000000000"/>
    <w:charset w:val="FFFFFF86"/>
    <w:family w:val="auto"/>
    <w:pitch w:val="default"/>
    <w:sig w:usb0="A00002BF" w:usb1="184F6CFA" w:usb2="00000012" w:usb3="00000000" w:csb0="00040001" w:csb1="00000000"/>
    <w:embedRegular r:id="rId11" w:fontKey="{08C6A054-467C-42D5-88A3-A907788B8817}"/>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E63802B6-2200-45DB-B315-A32728ADBBD7}"/>
    <w:embedBold r:id="rId13" w:subsetted="1" w:fontKey="{35BD3BA6-522B-4A2E-9320-464964B06265}"/>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