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天津华北地质勘查总院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担任国家和地方地矿资源勘查及公益性、基础性地质、环境地质、地质灾害的调查、评价和治理工作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天津华北地质勘查总院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1.天津华北地质勘查总院（内设4个职能部门、3个业务部门）。</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天津华北地质勘查总院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29829400.00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11085820.22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5712000.00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1419000.00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5307284.09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36765901.88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46222504.31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43896901.88</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2292741.32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-902251.52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-869390.41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-902251.52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45320252.79</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45320252.79</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天津华北地质勘查总院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46222504.31</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29829400.00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11085820.22</w:t>
            </w: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5307284.09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5712000.00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5712000.00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5712000.00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5712000.00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3807000.00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3807000.00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1905000.00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1419000.00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1269000.00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1269000.00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150000.00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39091504.31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22698400.00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11085820.22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5307284.09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39091504.31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22698400.00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11085820.22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5307284.09</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39091504.31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22698400.00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11085820.22</w:t>
            </w: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5307284.09</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天津华北地质勘查总院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45320252.79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46222504.31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29829400.00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11085820.22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5307284.09</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615202</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天津华北地质勘查总院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45320252.79</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46222504.31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29829400.00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11085820.22</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5307284.09</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天津华北地质勘查总院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-902251.52</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-902251.52</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-902251.52</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615202</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天津华北地质勘查总院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-902251.52</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-902251.52</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-902251.52</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天津华北地质勘查总院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43896901.88</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32843942.77</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11052959.11</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3807000.00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3807000.00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36765901.88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25712942.77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11052959.11</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36765901.88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25712942.77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11052959.11</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36765901.88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25712942.77</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11052959.11</w:t>
            </w: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天津华北地质勘查总院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29829400.00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5712000.00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5712000.00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1419000.00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1419000.00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22698400.00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22698400.00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29829400.00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29829400.00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29829400.00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29829400.00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29829400.00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29829400.00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天津华北地质勘查总院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29829400.00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29829400.00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28832400.00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997000.00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5712000.00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3807000.00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1905000.00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1419000.00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1269000.00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150000.00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22698400.00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22698400.00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21701400.00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997000.00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22698400.00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22698400.00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21701400.00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997000.00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22698400.00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22698400.00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21701400.00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997000.00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天津华北地质勘查总院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28832400.00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997000.00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12223675.32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4026724.68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2143000.00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3807000.00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1905000.00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1418043.69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338852.12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2969147.88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956.31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207000.00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28832400.00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997000.00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天津华北地质勘查总院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天津华北地质勘查总院2025年度政府性基金预算财政拨款收入支出决算表为空表。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天津华北地质勘查总院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天津华北地质勘查总院2025年度国有资本经营预算财政拨款收入支出决算表为空表。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天津华北地质勘查总院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天津华北地质勘查总院2025年财政拨款“三公”经费支出决算表为空表。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天津华北地质勘查总院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天津华北地质勘查总院2025年项目支出决算表为空表。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45,320,252.79</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减少11,563,681.59元，下降20.33%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一般公共预算财政拨款收入29,829,400.00元、事业单位经营收入11,085,820.22元、其他收入5,307,284.09元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社会保障和就业支出5,712,000.00元、卫生健康支出1,419,000.00元、自然资源海洋气象等支出36,765,901.88元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天津华北地质勘查总院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46,222,504.31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减少1,592,507.92元，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一般公共预算财政拨款收入29,829,400.00元，占64.53%；事业单位经营收入11,085,820.22元，占23.98%；其他收入5,307,284.09元，占11.49%</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天津华北地质勘查总院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43,896,901.88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减少13,355,981.18元，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财政拨款支出、经营支出减少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基本支出32,843,942.77元，占74.82%；经营支出11,052,959.11元，占25.18%</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29,829,400.00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减少2,882,400.00元，下降8.81%，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一般公共预算财政拨款29,829,400.00元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社会保障和就业支出5,712,000.00元、卫生健康支出1,419,000.00元、自然资源海洋气象等支出22,698,400.00元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天津华北地质勘查总院2025年度一般公共预算财政拨款支出合计29,829,400.00元，占本年支出合计的67.95%。与2024年度相比，一般公共预算财政拨款支出</w:t>
      </w:r>
      <w:r>
        <w:rPr>
          <w:rFonts w:eastAsia="仿宋_GB2312" w:hint="eastAsia"/>
          <w:sz w:val="30"/>
          <w:szCs w:val="30"/>
          <w:highlight w:val="none"/>
          <w:lang w:val="en-US" w:eastAsia="zh-CN"/>
        </w:rPr>
        <w:t xml:space="preserve">减少2,882,400.00元</w:t>
      </w:r>
      <w:r>
        <w:rPr>
          <w:rFonts w:eastAsia="仿宋_GB2312" w:hint="eastAsia"/>
          <w:sz w:val="30"/>
          <w:szCs w:val="30"/>
          <w:highlight w:val="none"/>
          <w:lang w:val="en-US" w:eastAsia="zh-CN"/>
        </w:rPr>
        <w:t xml:space="preserve">，下降8.81%</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2025年度一般公共预算财政拨款支出29,829,400.00元，主要用于以下方面：</w:t>
      </w:r>
      <w:r>
        <w:rPr>
          <w:rFonts w:eastAsia="仿宋_GB2312" w:hint="eastAsia"/>
          <w:sz w:val="30"/>
          <w:szCs w:val="30"/>
          <w:highlight w:val="none"/>
        </w:rPr>
        <w:t xml:space="preserve">社会保障和就业支出（类）支出5,712,000.00元，占19.15%，卫生健康支出（类）支出1,419,000.00元，占4.76%，自然资源海洋气象等支出（类）支出22,698,400.00元，占76.09%</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2025年度一般公共预算财政拨款支出年初预算为28,405,000.00元，支出决算为29,829,400.00元</w:t>
      </w:r>
      <w:r>
        <w:rPr>
          <w:rFonts w:eastAsia="仿宋_GB2312" w:hint="eastAsia"/>
          <w:sz w:val="30"/>
          <w:szCs w:val="30"/>
          <w:highlight w:val="none"/>
          <w:lang w:val="en-US" w:eastAsia="zh-CN"/>
        </w:rPr>
        <w:t xml:space="preserve">，完成年初预算的105.01%</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3,777,000.00元，支出决算为3,807,000.00元，完成年初预算的100.79%，决算数大于年初预算数的主要原因是：本年度因人员增减变动导致养老保险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1,889,000.00元，支出决算为1,905,000.00元，完成年初预算的100.85%，决算数大于年初预算数的主要原因是：本年度因人员增减变动导致职业年金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1,239,000.00元，支出决算为1,269,000.00元，完成年初预算的102.42%，决算数大于年初预算数的主要原因是：本年度因人员增减变动导致事业单位医疗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150,000.00元，支出决算为150,000.00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21,350,000.00元，支出决算为22,698,400.00元，完成年初预算的106.32%，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天津华北地质勘查总院2025年度一般公共预算财政拨款基本支出合计29,829,400.00元，与2024年度相比</w:t>
      </w:r>
      <w:r>
        <w:rPr>
          <w:rFonts w:eastAsia="仿宋_GB2312" w:hint="eastAsia"/>
          <w:sz w:val="30"/>
          <w:szCs w:val="30"/>
          <w:highlight w:val="none"/>
          <w:lang w:val="en-US" w:eastAsia="zh-CN"/>
        </w:rPr>
        <w:t xml:space="preserve">减少2,882,400.00元，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人员经费28,832,400.00元，主要包括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公用经费997,000.00元，主要包括</w:t>
      </w:r>
      <w:r>
        <w:rPr>
          <w:rFonts w:eastAsia="仿宋_GB2312" w:hint="eastAsia"/>
          <w:sz w:val="30"/>
          <w:szCs w:val="30"/>
          <w:highlight w:val="none"/>
          <w:lang w:val="en-US" w:eastAsia="zh-CN"/>
        </w:rPr>
        <w:t xml:space="preserve">水费、电费、物业管理费、工会经费、福利费、其他交通费用、其他商品和服务支出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天津华北地质勘查总院2025年度无政府采购支出。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截至2025年12月31日，天津华北地质勘查总院共有车辆17辆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其他用车17辆</w:t>
      </w:r>
      <w:r>
        <w:rPr>
          <w:rFonts w:eastAsia="仿宋_GB2312" w:hint="eastAsia"/>
          <w:sz w:val="30"/>
          <w:szCs w:val="30"/>
          <w:highlight w:val="none"/>
          <w:lang w:val="en-US" w:eastAsia="zh-CN"/>
        </w:rPr>
        <w:t xml:space="preserve">，其他用车主要包括地质勘探工作用车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天津华北地质勘查总院2025年度没有项目支出,无需开展绩效自评。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天津华北地质勘查总院不属于乡、镇、街级单位,不涉及公开2025年度教育、医疗卫生、社会保障和就业、住房保障、涉农补贴等民生支出情况。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085CF4F3-4C9D-494B-A8D5-33A61B619C5A}"/>
    <w:embedBold r:id="rId2" w:subsetted="1" w:fontKey="{1725EBC9-6981-4227-9409-4898805BCAE6}"/>
  </w:font>
  <w:font w:name="Cambria">
    <w:panose1 w:val="02040503050406030204"/>
    <w:charset w:val="00"/>
    <w:family w:val="roman"/>
    <w:pitch w:val="default"/>
    <w:sig w:usb0="E00006FF" w:usb1="420024FF" w:usb2="02000000" w:usb3="00000000" w:csb0="2000019F" w:csb1="00000000"/>
    <w:embedRegular r:id="rId3" w:fontKey="{D79F79A4-DA48-4A3B-A100-78A001C818E6}"/>
  </w:font>
  <w:font w:name="Calibri">
    <w:panose1 w:val="020F0502020204030204"/>
    <w:charset w:val="00"/>
    <w:family w:val="swiss"/>
    <w:pitch w:val="default"/>
    <w:sig w:usb0="E4002EFF" w:usb1="C200247B" w:usb2="00000009" w:usb3="00000000" w:csb0="200001FF" w:csb1="00000000"/>
    <w:embedRegular r:id="rId4" w:fontKey="{C61556AF-D7EB-4515-B754-5968D48DB749}"/>
  </w:font>
  <w:font w:name="黑体">
    <w:panose1 w:val="02010609060101010101"/>
    <w:charset w:val="FFFFFF86"/>
    <w:family w:val="auto"/>
    <w:pitch w:val="default"/>
    <w:sig w:usb0="800002BF" w:usb1="38CF7CFA" w:usb2="00000016" w:usb3="00000000" w:csb0="00040001" w:csb1="00000000"/>
    <w:embedRegular r:id="rId5" w:subsetted="1" w:fontKey="{B5DB1AC2-1A4B-4F3D-A8A1-B20DBADBF457}"/>
    <w:embedBold r:id="rId6" w:subsetted="1" w:fontKey="{FBF9C75F-ECD6-464F-8F31-53D8B13EBD5D}"/>
  </w:font>
  <w:font w:name="方正小标宋简体">
    <w:altName w:val="黑体"/>
    <w:panose1 w:val="02000000000000000000"/>
    <w:charset w:val="FFFFFF86"/>
    <w:family w:val="auto"/>
    <w:pitch w:val="default"/>
    <w:sig w:usb0="00000001" w:usb1="08000000" w:usb2="00000000" w:usb3="00000000" w:csb0="00040000" w:csb1="00000000"/>
    <w:embedRegular r:id="rId7" w:fontKey="{02390E0E-38C8-4B18-995C-6BF5CAF549BC}"/>
    <w:embedBold r:id="rId8" w:fontKey="{0BB55FC5-0A48-4445-A8FF-0EEF423DC0E5}"/>
  </w:font>
  <w:font w:name="仿宋">
    <w:panose1 w:val="02010609060101010101"/>
    <w:charset w:val="FFFFFF86"/>
    <w:family w:val="auto"/>
    <w:pitch w:val="default"/>
    <w:sig w:usb0="800002BF" w:usb1="38CF7CFA" w:usb2="00000016" w:usb3="00000000" w:csb0="00040001" w:csb1="00000000"/>
    <w:embedRegular r:id="rId9" w:subsetted="1" w:fontKey="{73A1C72C-CC94-49D3-9D9B-0B4E03B3276F}"/>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9DDD95F1-8366-49C9-BB1D-D2B769B907AB}"/>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BD24C57A-0EAA-4820-8DBD-12E669ADC82D}"/>
    <w:embedBold r:id="rId12" w:subsetted="1" w:fontKey="{4EF2F218-25D6-4EAD-9EF5-4907EE9EBC04}"/>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