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天津市地球物理勘探中心</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天津市地球物理勘探中心</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开展地球物理勘探工作，开展地质勘查与监测、地质灾害防治工程的勘查、地震安全性等工程物探勘查评价工作，开展能源、矿产资源的勘查与评价工作以及提供仓储服务；负责国有资产保值增值</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天津市地球物理勘探中心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1、天津市地球物理勘探中心。</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天津市地球物理勘探中心</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7220300.00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31694565.91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1429000.00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378000.00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172183.76</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32218305.75</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39087049.67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34025305.75</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3450796.05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2970260.09</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-5542279.88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-5542279.88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36995565.84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36995565.84</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天津市地球物理勘探中心</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39087049.67</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7220300.00</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31694565.91</w:t>
            </w: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172183.76</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1429000.00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1429000.00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1429000.00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1429000.00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机关事业单位基本养老保险缴费支出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954000.00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954000.00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机关事业单位职业年金缴费支出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475000.00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475000.00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378000.00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378000.00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378000.00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378000.00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342000.00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342000.00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其他行政事业单位医疗支出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36000.00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36000.00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自然资源海洋气象等支出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37280049.67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5413300.00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31694565.91</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172183.76</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37280049.67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5413300.00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31694565.91</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172183.76</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2200150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事业运行</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37280049.67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5413300.00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31694565.91</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172183.76</w:t>
            </w: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天津市地球物理勘探中心</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36995565.84</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39087049.67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7220300.00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31694565.91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172183.76</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615212</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天津市地球物理勘探中心</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36995565.84</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39087049.67</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7220300.00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31694565.91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172183.76</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天津市地球物理勘探中心</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-2091483.83</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-2091483.83</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-2091483.83</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615212</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天津市地球物理勘探中心</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-2091483.83</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-2091483.83</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-2091483.83</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天津市地球物理勘探中心</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34025305.75</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10843279.81</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23182025.94</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1429000.00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1429000.00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1429000.00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1429000.00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机关事业单位基本养老保险缴费支出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954000.00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954000.00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机关事业单位职业年金缴费支出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475000.00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475000.00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378000.00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378000.00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378000.00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378000.00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342000.00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342000.00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其他行政事业单位医疗支出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自然资源海洋气象等支出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32218305.75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9036279.81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23182025.94</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自然资源事务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32218305.75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9036279.81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23182025.94</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2200150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事业运行</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32218305.75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9036279.81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23182025.94</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天津市地球物理勘探中心</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7220300.00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1429000.00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1429000.00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378000.00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378000.00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5413300.00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5413300.00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7220300.00</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7220300.00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7220300.00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7220300.00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7220300.00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7220300.00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天津市地球物理勘探中心</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7220300.00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7220300.00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7209300.00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1429000.00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1429000.00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1429000.00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1429000.00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1429000.00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1429000.00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机关事业单位基本养老保险缴费支出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954000.00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954000.00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954000.00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机关事业单位职业年金缴费支出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342000.00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其他行政事业单位医疗支出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自然资源海洋气象等支出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5413300.00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5413300.00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5402300.00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自然资源事务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5413300.00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5413300.00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5402300.00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2200150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事业运行</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5413300.00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5413300.00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5402300.00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天津市地球物理勘探中心</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7209300.00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3311516.85</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1102221.39</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157561.76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954000.00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475000.00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342000.00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71837.97</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759162.03</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36000.00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7209300.00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11000.00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天津市地球物理勘探中心</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天津市地球物理勘探中心2025年度政府性基金预算财政拨款收入支出决算表为空表。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天津市地球物理勘探中心</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天津市地球物理勘探中心2025年度国有资本经营预算财政拨款收入支出决算表为空表。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天津市地球物理勘探中心</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天津市地球物理勘探中心2025年财政拨款“三公”经费支出决算表为空表。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天津市地球物理勘探中心</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divId w:val="0"/>
        <w:snapToGrid w:val="0"/>
        <w:ind w:left="-960" w:firstLine="0" w:leftChars="-400" w:firstLineChars="0"/>
        <w:rPr>
          <w:rFonts w:ascii="宋体" w:eastAsia="宋体" w:hAnsi="宋体" w:cs="宋体" w:hint="eastAsia"/>
          <w:i w:val="0"/>
          <w:iCs w:val="0"/>
          <w:color w:val="000000"/>
          <w:kern w:val="0.0"/>
          <w:sz w:val="20"/>
          <w:szCs w:val="20"/>
          <w:highlight w:val="none"/>
          <w:u w:val="none"/>
          <w:lang w:val="en-US" w:eastAsia="zh-CN"/>
        </w:r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r>
        <w:rPr>
          <w:rFonts w:ascii="宋体" w:eastAsia="宋体" w:hAnsi="宋体" w:cs="宋体" w:hint="eastAsia"/>
          <w:i w:val="0"/>
          <w:iCs w:val="0"/>
          <w:color w:val="000000"/>
          <w:kern w:val="0.0"/>
          <w:sz w:val="20"/>
          <w:szCs w:val="20"/>
          <w:highlight w:val="none"/>
          <w:u w:val="none"/>
          <w:lang w:val="en-US" w:eastAsia="zh-CN"/>
        </w:rPr>
        <w:t xml:space="preserve">天津市地球物理勘探中心2025年项目支出决算表为空表。</w:t>
      </w: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天津市地球物理勘探中心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36,995,565.84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增加4,367,655.52元，增长13.39%</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收支总计中以前年度经营亏损减少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一般公共预算财政拨款收入7,220,300.00元、事业单位经营收入31,694,565.91元、其他收入172,183.76元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社会保障和就业支出1,429,000.00元、卫生健康支出378,000.00元、自然资源海洋气象等支出32,218,305.75元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天津市地球物理勘探中心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39,087,049.67</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减少1,057,561.95元，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事业单位经营收入减少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一般公共预算财政拨款收入7,220,300.00元，占18.47%；事业单位经营收入31,694,565.91元，占81.09%；其他收入172,183.76元，占0.44%</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天津市地球物理勘探中心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34,025,305.75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减少4,144,884.45元，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事业单位经营支出减少</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基本支出10,843,279.81元，占31.87%；经营支出23,182,025.94元，占68.13%</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天津市地球物理勘探中心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7,220,300.00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增加1,327,300.00元，增长22.52%，</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人员变动导致人员经费增加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一般公共预算财政拨款7,220,300.00元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社会保障和就业支出1,429,000.00元、卫生健康支出378,000.00元、自然资源海洋气象等支出5,413,300.00元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天津市地球物理勘探中心2025年度一般公共预算财政拨款支出合计7,220,300.00元，占本年支出合计的21.22%。与2024年度相比，一般公共预算财政拨款支出</w:t>
      </w:r>
      <w:r>
        <w:rPr>
          <w:rFonts w:eastAsia="仿宋_GB2312" w:hint="eastAsia"/>
          <w:sz w:val="30"/>
          <w:szCs w:val="30"/>
          <w:highlight w:val="none"/>
          <w:lang w:val="en-US" w:eastAsia="zh-CN"/>
        </w:rPr>
        <w:t xml:space="preserve">增加1,327,300.00元</w:t>
      </w:r>
      <w:r>
        <w:rPr>
          <w:rFonts w:eastAsia="仿宋_GB2312" w:hint="eastAsia"/>
          <w:sz w:val="30"/>
          <w:szCs w:val="30"/>
          <w:highlight w:val="none"/>
          <w:lang w:val="en-US" w:eastAsia="zh-CN"/>
        </w:rPr>
        <w:t xml:space="preserve">，增长22.52%</w:t>
      </w:r>
      <w:r>
        <w:rPr>
          <w:rFonts w:eastAsia="仿宋_GB2312" w:hint="eastAsia"/>
          <w:sz w:val="30"/>
          <w:szCs w:val="30"/>
          <w:highlight w:val="none"/>
          <w:lang w:val="en-US" w:eastAsia="zh-CN"/>
        </w:rPr>
        <w:t xml:space="preserve">，主要原因是人员变动导致人员经费增加。</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2025年度一般公共预算财政拨款支出7,220,300.00元，主要用于以下方面：</w:t>
      </w:r>
      <w:r>
        <w:rPr>
          <w:rFonts w:eastAsia="仿宋_GB2312" w:hint="eastAsia"/>
          <w:sz w:val="30"/>
          <w:szCs w:val="30"/>
          <w:highlight w:val="none"/>
        </w:rPr>
        <w:t xml:space="preserve">社会保障和就业支出（类）支出1,429,000.00元，占19.79%，卫生健康支出（类）支出378,000.00元，占5.24%，自然资源海洋气象等支出（类）支出5,413,300.00元，占74.97%</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2025年度一般公共预算财政拨款支出年初预算为6,869,000.00元，支出决算为7,220,300.00元</w:t>
      </w:r>
      <w:r>
        <w:rPr>
          <w:rFonts w:eastAsia="仿宋_GB2312" w:hint="eastAsia"/>
          <w:sz w:val="30"/>
          <w:szCs w:val="30"/>
          <w:highlight w:val="none"/>
          <w:lang w:val="en-US" w:eastAsia="zh-CN"/>
        </w:rPr>
        <w:t xml:space="preserve">，完成年初预算的105.11%</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社会保障和就业支出（类）行政事业单位养老支出（款）机关事业单位基本养老保险缴费支出（项）年初预算为934,000.00元，支出决算为954,000.00元，完成年初预算的102.14%，决算数大于年初预算数的主要原因是：本年度因人员增减变动导致养老保险缴费较预算有所变化。。</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社会保障和就业支出（类）行政事业单位养老支出（款）机关事业单位职业年金缴费支出（项）年初预算为467,000.00元，支出决算为475,000.00元，完成年初预算的101.71%，决算数大于年初预算数的主要原因是：本年度因人员增减变动导致职业年金缴费较预算有所变化。。</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卫生健康支出（类）行政事业单位医疗（款）事业单位医疗（项）年初预算为306,000.00元，支出决算为342,000.00元，完成年初预算的111.76%，决算数大于年初预算数的主要原因是：本年度因人员增减变动导致事业单位医疗较预算有所变化。。</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卫生健康支出（类）行政事业单位医疗（款）其他行政事业单位医疗支出（项）年初预算为36,000.00元，支出决算为36,000.00元，完成年初预算的100.00%，决算数与年初预算数持平的主要原因是：厉行节约，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自然资源海洋气象等支出（类）自然资源事务（款）事业运行（项）年初预算为5,126,000.00元，支出决算为5,413,300.00元，完成年初预算的105.60%，决算数大于年初预算数的主要原因是：职务职级调整导致人员经费较年初预算稍有增长。</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天津市地球物理勘探中心2025年度一般公共预算财政拨款基本支出合计7,220,300.00元，与2024年度相比</w:t>
      </w:r>
      <w:r>
        <w:rPr>
          <w:rFonts w:eastAsia="仿宋_GB2312" w:hint="eastAsia"/>
          <w:sz w:val="30"/>
          <w:szCs w:val="30"/>
          <w:highlight w:val="none"/>
          <w:lang w:val="en-US" w:eastAsia="zh-CN"/>
        </w:rPr>
        <w:t xml:space="preserve">增加1,327,300.00元，</w:t>
      </w:r>
      <w:r>
        <w:rPr>
          <w:rFonts w:eastAsia="仿宋_GB2312" w:hint="eastAsia"/>
          <w:sz w:val="30"/>
          <w:szCs w:val="30"/>
          <w:highlight w:val="none"/>
          <w:lang w:val="en-US" w:eastAsia="zh-CN"/>
        </w:rPr>
        <w:t xml:space="preserve">主要原因是人员变动导致人员经费增加。</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人员经费7,209,300.00元，主要包括</w:t>
      </w:r>
      <w:r>
        <w:rPr>
          <w:rFonts w:eastAsia="仿宋_GB2312" w:hint="eastAsia"/>
          <w:sz w:val="30"/>
          <w:szCs w:val="30"/>
          <w:highlight w:val="none"/>
          <w:lang w:val="en-US" w:eastAsia="zh-CN"/>
        </w:rPr>
        <w:t xml:space="preserve">基本工资、津贴补贴、绩效工资、机关事业单位基本养老保险缴费、职业年金缴费、职工基本医疗保险缴费、其他社会保障缴费、住房公积金、医疗费</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公用经费11,000.00元，主要包括</w:t>
      </w:r>
      <w:r>
        <w:rPr>
          <w:rFonts w:eastAsia="仿宋_GB2312" w:hint="eastAsia"/>
          <w:sz w:val="30"/>
          <w:szCs w:val="30"/>
          <w:highlight w:val="none"/>
          <w:lang w:val="en-US" w:eastAsia="zh-CN"/>
        </w:rPr>
        <w:t xml:space="preserve">福利费</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天津市地球物理勘探中心2025年度无政府性基金预算财政拨款收入、支出和结转结余。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天津市地球物理勘探中心2025年度无国有资本经营预算财政拨款收入、支出和结转结余。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天津市地球物理勘探中心2025年度无机关运行经费。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地球物理勘探中心2025年政府采购支出总额4,600.00元，其中：政府采购货物支出4,600.00元、政府采购工程支出0.00元、政府采购服务支出0.00元。授予中小企业合同金额4,600.00元，占政府采购支出总额的100.00%，其中：授予小微企业合同金额4,600.00元，占政府采购支出总额的100.00%；货物采购授予中小企业合同金额占货物支出金额的100.00%，工程采购授予中小企业合同金额占工程支出金额的0.00%，服务采购授予中小企业合同金额占服务支出金额的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截至2025年12月31日，天津市地球物理勘探中心共有车辆6辆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其他用车6辆</w:t>
      </w:r>
      <w:r>
        <w:rPr>
          <w:rFonts w:eastAsia="仿宋_GB2312" w:hint="eastAsia"/>
          <w:sz w:val="30"/>
          <w:szCs w:val="30"/>
          <w:highlight w:val="none"/>
          <w:lang w:val="en-US" w:eastAsia="zh-CN"/>
        </w:rPr>
        <w:t xml:space="preserve">，其他用车主要包括地质勘探工作用车</w:t>
      </w:r>
      <w:r>
        <w:rPr>
          <w:rFonts w:eastAsia="仿宋_GB2312" w:hint="eastAsia"/>
          <w:sz w:val="30"/>
          <w:szCs w:val="30"/>
          <w:highlight w:val="none"/>
          <w:lang w:val="en-US" w:eastAsia="zh-CN"/>
        </w:rPr>
        <w:t xml:space="preserve">。单价100万元以上的设备5台（套）。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天津市地球物理勘探中心2025年度没有项目支出，无需开展绩效自评。</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天津市地球物理勘探中心不属于乡、镇、街级单位，不涉及公开2025年度教育、医疗卫生、社会保障和就业、住房保障、涉农补贴等民生支出情况。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9AFFAF3A-E3F5-47FA-BD5A-3B23B2F65C22}"/>
    <w:embedBold r:id="rId2" w:subsetted="1" w:fontKey="{515ECCB9-AF75-44E8-AC04-6113EF0F3E92}"/>
  </w:font>
  <w:font w:name="Cambria">
    <w:panose1 w:val="02040503050406030204"/>
    <w:charset w:val="00"/>
    <w:family w:val="roman"/>
    <w:pitch w:val="default"/>
    <w:sig w:usb0="E00006FF" w:usb1="420024FF" w:usb2="02000000" w:usb3="00000000" w:csb0="2000019F" w:csb1="00000000"/>
    <w:embedRegular r:id="rId3" w:fontKey="{923E2141-EFD8-451E-885C-D9837C58330E}"/>
  </w:font>
  <w:font w:name="Calibri">
    <w:panose1 w:val="020F0502020204030204"/>
    <w:charset w:val="00"/>
    <w:family w:val="swiss"/>
    <w:pitch w:val="default"/>
    <w:sig w:usb0="E4002EFF" w:usb1="C200247B" w:usb2="00000009" w:usb3="00000000" w:csb0="200001FF" w:csb1="00000000"/>
    <w:embedRegular r:id="rId4" w:fontKey="{074C341F-433C-4AE5-82ED-A58C1552CEE9}"/>
  </w:font>
  <w:font w:name="黑体">
    <w:panose1 w:val="02010609060101010101"/>
    <w:charset w:val="FFFFFF86"/>
    <w:family w:val="auto"/>
    <w:pitch w:val="default"/>
    <w:sig w:usb0="800002BF" w:usb1="38CF7CFA" w:usb2="00000016" w:usb3="00000000" w:csb0="00040001" w:csb1="00000000"/>
    <w:embedRegular r:id="rId5" w:subsetted="1" w:fontKey="{131E0180-7624-4C61-836D-F658CC6AD653}"/>
    <w:embedBold r:id="rId6" w:subsetted="1" w:fontKey="{F67FD302-1196-4C45-A415-E7F1BA53DBA9}"/>
  </w:font>
  <w:font w:name="方正小标宋简体">
    <w:altName w:val="黑体"/>
    <w:panose1 w:val="02000000000000000000"/>
    <w:charset w:val="FFFFFF86"/>
    <w:family w:val="auto"/>
    <w:pitch w:val="default"/>
    <w:sig w:usb0="00000001" w:usb1="08000000" w:usb2="00000000" w:usb3="00000000" w:csb0="00040000" w:csb1="00000000"/>
    <w:embedRegular r:id="rId7" w:fontKey="{92EF85B9-8137-4BE3-B32B-616C161C5D63}"/>
    <w:embedBold r:id="rId8" w:fontKey="{A9906DC4-A7D8-4F47-B1DE-98F84EE21FB7}"/>
  </w:font>
  <w:font w:name="仿宋">
    <w:panose1 w:val="02010609060101010101"/>
    <w:charset w:val="FFFFFF86"/>
    <w:family w:val="auto"/>
    <w:pitch w:val="default"/>
    <w:sig w:usb0="800002BF" w:usb1="38CF7CFA" w:usb2="00000016" w:usb3="00000000" w:csb0="00040001" w:csb1="00000000"/>
    <w:embedRegular r:id="rId9" w:subsetted="1" w:fontKey="{CA9E2CFA-BDB2-4CBE-BEA3-D75CF3F43000}"/>
  </w:font>
  <w:font w:name="方正仿宋_GB2312">
    <w:altName w:val="仿宋"/>
    <w:panose1 w:val="02000000000000000000"/>
    <w:charset w:val="FFFFFF86"/>
    <w:family w:val="auto"/>
    <w:pitch w:val="default"/>
    <w:sig w:usb0="A00002BF" w:usb1="184F6CFA" w:usb2="00000012" w:usb3="00000000" w:csb0="00040001" w:csb1="00000000"/>
    <w:embedRegular r:id="rId10" w:fontKey="{05C61A16-3FB2-455B-A7BF-A152881E1B7E}"/>
  </w:font>
  <w:font w:name="仿宋_GB2312">
    <w:altName w:val="仿宋"/>
    <w:panose1 w:val="02010609030101010101"/>
    <w:charset w:val="FFFFFF86"/>
    <w:family w:val="auto"/>
    <w:pitch w:val="default"/>
    <w:sig w:usb0="00000001" w:usb1="080E0000" w:usb2="00000000" w:usb3="00000000" w:csb0="00040000" w:csb1="00000000"/>
    <w:embedRegular r:id="rId11" w:fontKey="{05D1AFC8-EFA5-4CBB-A20B-12C7B5EEAFF7}"/>
  </w:font>
  <w:font w:name="方正楷体_GB2312">
    <w:altName w:val="宋体"/>
    <w:panose1 w:val="02000000000000000000"/>
    <w:charset w:val="FFFFFF86"/>
    <w:family w:val="auto"/>
    <w:pitch w:val="default"/>
    <w:sig w:usb0="A00002BF" w:usb1="184F6CFA" w:usb2="00000012" w:usb3="00000000" w:csb0="00040001" w:csb1="00000000"/>
    <w:embedRegular r:id="rId12" w:fontKey="{1C5BF02F-DC05-4BDF-80B3-34D818A35AAD}"/>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3" w:subsetted="1" w:fontKey="{1F8133D6-2167-4AA1-898E-30EB370A06CD}"/>
    <w:embedBold r:id="rId14" w:subsetted="1" w:fontKey="{72F3BD03-E23B-4046-B86B-5E935D684141}"/>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7</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18</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26</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14" Type="http://schemas.openxmlformats.org/officeDocument/2006/relationships/font" Target="fonts/font13.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29</Pages>
  <Words>11720</Words>
  <Characters>62073</Characters>
  <Application>WPS Office_12.1.0.28043_F1E327BC-269C-435d-A152-05C5408002CA</Application>
  <DocSecurity>0</DocSecurity>
  <Lines>60</Lines>
  <Paragraphs>16</Paragraphs>
  <ScaleCrop>false</ScaleCrop>
  <Company>Microsoft</Company>
  <LinksUpToDate>false</LinksUpToDate>
  <CharactersWithSpaces>63178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