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华北地质勘查局职工大学</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负责全局在职职工教育培训工作，承担有关地质找矿专业技工继续教育</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华北地质勘查局职工大学（内设2个职能科室）。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华北地质勘查局职工大学</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5508379.15</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851800.00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237700.00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295800.23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6615400.23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6597879.15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17521.08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6615400.23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6615400.23</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6615400.23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295800.23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5525900.23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5230100.00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295800.23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5525900.23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5230100.00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295800.23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5525900.23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5230100.00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295800.23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567900.00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567900.00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283900.00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283900.00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237700.00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237700.00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237700.00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237700.00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华北地质勘查局职工大学</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6615400.23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6615400.23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6319600.00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295800.23</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615203</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华北地质勘查局职工大学</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6615400.23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6615400.23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6319600.00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295800.23</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华北地质勘查局职工大学</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615203</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华北地质勘查局职工大学</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6597879.15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6597879.15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5230100.00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5230100.00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851800.00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851800.00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237700.00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237700.00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华北地质勘查局职工大学</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6217740.80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1816301.79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618158.85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2096314.02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567900.00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283900.00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236500.00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42364.14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556302.00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101859.20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100659.20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6319600.00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华北地质勘查局职工大学2025年度政府性基金预算财政拨款收入支出决算表为空表。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华北地质勘查局职工大学2025年度国有资本经营预算财政拨款收入支出决算表为空表。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华北地质勘查局职工大学2025年财政拨款“三公”经费支出决算表为空表。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华北地质勘查局职工大学2025年项目支出决算表为空表。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6,615,400.23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增加367,728.40元，增长5.89%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一般公共预算财政拨款收支增加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一般公共预算财政拨款收入6,319,600.00元、其他收入295,800.23元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教育支出5,508,379.15元、社会保障和就业支出851,800.00元、卫生健康支出237,700.00元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6,615,400.23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增加367,728.40元，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一般公共预算财政拨款收入6,319,600.00元，占95.53%；其他收入295,800.23元，占4.47%</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6,597,879.15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增加367,728.40元，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基本支出6,597,879.15元，占100.00%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6,319,600.00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增加406,600.00元，增长6.88%，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一般公共预算财政拨款6,319,600.00元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教育支出5,230,100.00元、社会保障和就业支出851,800.00元、卫生健康支出237,700.00元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华北地质勘查局职工大学2025年度一般公共预算财政拨款支出合计6,319,600.00元，占本年支出合计的95.78%。与2024年度相比，一般公共预算财政拨款支出</w:t>
      </w:r>
      <w:r>
        <w:rPr>
          <w:rFonts w:eastAsia="仿宋_GB2312" w:hint="eastAsia"/>
          <w:sz w:val="30"/>
          <w:szCs w:val="30"/>
          <w:highlight w:val="none"/>
          <w:lang w:val="en-US" w:eastAsia="zh-CN"/>
        </w:rPr>
        <w:t xml:space="preserve">增加406,600.00元</w:t>
      </w:r>
      <w:r>
        <w:rPr>
          <w:rFonts w:eastAsia="仿宋_GB2312" w:hint="eastAsia"/>
          <w:sz w:val="30"/>
          <w:szCs w:val="30"/>
          <w:highlight w:val="none"/>
          <w:lang w:val="en-US" w:eastAsia="zh-CN"/>
        </w:rPr>
        <w:t xml:space="preserve">，增长6.88%</w:t>
      </w:r>
      <w:r>
        <w:rPr>
          <w:rFonts w:eastAsia="仿宋_GB2312" w:hint="eastAsia"/>
          <w:sz w:val="30"/>
          <w:szCs w:val="30"/>
          <w:highlight w:val="none"/>
          <w:lang w:val="en-US" w:eastAsia="zh-CN"/>
        </w:rPr>
        <w:t xml:space="preserve">，主要原因是人员经费支出增加。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2025年度一般公共预算财政拨款支出6,319,600.00元，主要用于以下方面：</w:t>
      </w:r>
      <w:r>
        <w:rPr>
          <w:rFonts w:eastAsia="仿宋_GB2312" w:hint="eastAsia"/>
          <w:sz w:val="30"/>
          <w:szCs w:val="30"/>
          <w:highlight w:val="none"/>
        </w:rPr>
        <w:t xml:space="preserve">教育支出（类）支出5,230,100.00元，占82.76%，社会保障和就业支出（类）支出851,800.00元，占13.48%，卫生健康支出（类）支出237,700.00元，占3.76%</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2025年度一般公共预算财政拨款支出年初预算为5,992,000.00元，支出决算为6,319,600.00元</w:t>
      </w:r>
      <w:r>
        <w:rPr>
          <w:rFonts w:eastAsia="仿宋_GB2312" w:hint="eastAsia"/>
          <w:sz w:val="30"/>
          <w:szCs w:val="30"/>
          <w:highlight w:val="none"/>
          <w:lang w:val="en-US" w:eastAsia="zh-CN"/>
        </w:rPr>
        <w:t xml:space="preserve">，完成年初预算的105.47%</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教育管理事务（款）其他教育管理事务支出（项）年初预算为5,000,000.00元，支出决算为5,230,100.00元，完成年初预算的104.60%，决算数大于年初预算数的主要原因是：职务职级调整导致人员经费较年初预算稍有增长。</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基本养老保险缴费支出（项）年初预算为520,000.00元，支出决算为567,900.00元，完成年初预算的109.21%，决算数大于年初预算数的主要原因是：本年度因人员增减变动导致养老保险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职业年金缴费支出（项）年初预算为260,000.00元，支出决算为283,900.00元，完成年初预算的109.19%，决算数大于年初预算数的主要原因是：本年度因人员增减变动导致职业年金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事业单位医疗（项）年初预算为171,000.00元，支出决算为196,700.00元，完成年初预算的115.03%，决算数大于年初预算数的主要原因是：本年度因人员增减变动导致事业单位医疗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其他行政事业单位医疗支出（项）年初预算为41,000.00元，支出决算为41,000.00元，完成年初预算的100.00%，决算数与年初预算数持平的主要原因是：厉行节约，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华北地质勘查局职工大学2025年度一般公共预算财政拨款基本支出合计6,319,600.00元，与2024年度相比</w:t>
      </w:r>
      <w:r>
        <w:rPr>
          <w:rFonts w:eastAsia="仿宋_GB2312" w:hint="eastAsia"/>
          <w:sz w:val="30"/>
          <w:szCs w:val="30"/>
          <w:highlight w:val="none"/>
          <w:lang w:val="en-US" w:eastAsia="zh-CN"/>
        </w:rPr>
        <w:t xml:space="preserve">增加406,600.00元，</w:t>
      </w:r>
      <w:r>
        <w:rPr>
          <w:rFonts w:eastAsia="仿宋_GB2312" w:hint="eastAsia"/>
          <w:sz w:val="30"/>
          <w:szCs w:val="30"/>
          <w:highlight w:val="none"/>
          <w:lang w:val="en-US" w:eastAsia="zh-CN"/>
        </w:rPr>
        <w:t xml:space="preserve">主要原因是人员经费支出增加。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人员经费6,319,600.00元，主要包括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决算数较上年持平的主要原因是本年度与上年度均未用财政拨款经费列支“三公”经费。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华北地质勘查局职工大学2025年度没有项目支出，无需开展部门评价。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华北地质勘查局职工大学不属于乡、镇、街级单位，不涉及公开2025年度教育、医疗卫生、社会保障和就业、住房保障、涉农补贴等民生支出情况。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FABE62C0-29C7-495A-8A9F-ACD262D4901E}"/>
    <w:embedBold r:id="rId2" w:subsetted="1" w:fontKey="{E26E1B50-82AD-440D-ADB5-F949E7A5DB11}"/>
  </w:font>
  <w:font w:name="Cambria">
    <w:panose1 w:val="02040503050406030204"/>
    <w:charset w:val="00"/>
    <w:family w:val="roman"/>
    <w:pitch w:val="default"/>
    <w:sig w:usb0="E00006FF" w:usb1="420024FF" w:usb2="02000000" w:usb3="00000000" w:csb0="2000019F" w:csb1="00000000"/>
    <w:embedRegular r:id="rId3" w:fontKey="{0ACC8966-5AC1-4BA6-97C6-D61DB0D617F1}"/>
  </w:font>
  <w:font w:name="Calibri">
    <w:panose1 w:val="020F0502020204030204"/>
    <w:charset w:val="00"/>
    <w:family w:val="swiss"/>
    <w:pitch w:val="default"/>
    <w:sig w:usb0="E4002EFF" w:usb1="C200247B" w:usb2="00000009" w:usb3="00000000" w:csb0="200001FF" w:csb1="00000000"/>
    <w:embedRegular r:id="rId4" w:fontKey="{8A0DECAA-8CBB-4EAC-8C5B-AA0F4B84355A}"/>
  </w:font>
  <w:font w:name="黑体">
    <w:panose1 w:val="02010609060101010101"/>
    <w:charset w:val="FFFFFF86"/>
    <w:family w:val="auto"/>
    <w:pitch w:val="default"/>
    <w:sig w:usb0="800002BF" w:usb1="38CF7CFA" w:usb2="00000016" w:usb3="00000000" w:csb0="00040001" w:csb1="00000000"/>
    <w:embedRegular r:id="rId5" w:subsetted="1" w:fontKey="{1E3B4565-1225-4805-A4AD-024E37DE6377}"/>
    <w:embedBold r:id="rId6" w:subsetted="1" w:fontKey="{0456F3E3-E249-4913-997A-B084C26D9C22}"/>
  </w:font>
  <w:font w:name="方正小标宋简体">
    <w:altName w:val="黑体"/>
    <w:panose1 w:val="02000000000000000000"/>
    <w:charset w:val="FFFFFF86"/>
    <w:family w:val="auto"/>
    <w:pitch w:val="default"/>
    <w:sig w:usb0="00000001" w:usb1="08000000" w:usb2="00000000" w:usb3="00000000" w:csb0="00040000" w:csb1="00000000"/>
    <w:embedRegular r:id="rId7" w:fontKey="{BF395082-49B6-4F6D-9962-558E749B7EBB}"/>
    <w:embedBold r:id="rId8" w:fontKey="{7806E7D7-6BEE-4C4C-993B-516287AA5D1D}"/>
  </w:font>
  <w:font w:name="仿宋">
    <w:panose1 w:val="02010609060101010101"/>
    <w:charset w:val="FFFFFF86"/>
    <w:family w:val="auto"/>
    <w:pitch w:val="default"/>
    <w:sig w:usb0="800002BF" w:usb1="38CF7CFA" w:usb2="00000016" w:usb3="00000000" w:csb0="00040001" w:csb1="00000000"/>
    <w:embedRegular r:id="rId9" w:subsetted="1" w:fontKey="{4BFE118E-4B1D-422B-9A00-E04D6D2E3A89}"/>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F679A486-7C82-4A8B-82A3-B8CE5E3555CA}"/>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EDCD7936-F003-42DE-96B2-917AB39E282D}"/>
    <w:embedBold r:id="rId12" w:subsetted="1" w:fontKey="{28CBD15D-8052-42C8-927B-6C99CF7FCE08}"/>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